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1F76" w:rsidRDefault="00FB1F76" w:rsidP="001E7F21">
      <w:pPr>
        <w:spacing w:line="480" w:lineRule="auto"/>
        <w:ind w:firstLine="720"/>
        <w:rPr>
          <w:rFonts w:ascii="Times New Roman" w:hAnsi="Times New Roman" w:cs="Times New Roman"/>
          <w:sz w:val="24"/>
          <w:szCs w:val="24"/>
        </w:rPr>
      </w:pPr>
    </w:p>
    <w:p w:rsidR="004920C7" w:rsidRDefault="004920C7" w:rsidP="001E7F21">
      <w:pPr>
        <w:spacing w:line="480" w:lineRule="auto"/>
        <w:ind w:firstLine="720"/>
        <w:rPr>
          <w:rFonts w:ascii="Times New Roman" w:hAnsi="Times New Roman" w:cs="Times New Roman"/>
          <w:sz w:val="24"/>
          <w:szCs w:val="24"/>
        </w:rPr>
      </w:pPr>
    </w:p>
    <w:p w:rsidR="004920C7" w:rsidRDefault="004920C7" w:rsidP="001E7F21">
      <w:pPr>
        <w:spacing w:line="480" w:lineRule="auto"/>
        <w:ind w:firstLine="720"/>
        <w:rPr>
          <w:rFonts w:ascii="Times New Roman" w:hAnsi="Times New Roman" w:cs="Times New Roman"/>
          <w:sz w:val="24"/>
          <w:szCs w:val="24"/>
        </w:rPr>
      </w:pPr>
    </w:p>
    <w:p w:rsidR="004920C7" w:rsidRDefault="004920C7" w:rsidP="001E7F21">
      <w:pPr>
        <w:spacing w:line="480" w:lineRule="auto"/>
        <w:ind w:firstLine="720"/>
        <w:rPr>
          <w:rFonts w:ascii="Times New Roman" w:hAnsi="Times New Roman" w:cs="Times New Roman"/>
          <w:sz w:val="24"/>
          <w:szCs w:val="24"/>
        </w:rPr>
      </w:pPr>
    </w:p>
    <w:p w:rsidR="004920C7" w:rsidRPr="001E7F21" w:rsidRDefault="004920C7" w:rsidP="001E7F21">
      <w:pPr>
        <w:spacing w:line="480" w:lineRule="auto"/>
        <w:ind w:firstLine="720"/>
        <w:rPr>
          <w:rFonts w:ascii="Times New Roman" w:hAnsi="Times New Roman" w:cs="Times New Roman"/>
          <w:sz w:val="24"/>
          <w:szCs w:val="24"/>
        </w:rPr>
      </w:pPr>
    </w:p>
    <w:p w:rsidR="00FB1F76" w:rsidRPr="001E7F21" w:rsidRDefault="00FB1F76" w:rsidP="001E7F21">
      <w:pPr>
        <w:spacing w:line="480" w:lineRule="auto"/>
        <w:ind w:firstLine="720"/>
        <w:rPr>
          <w:rFonts w:ascii="Times New Roman" w:hAnsi="Times New Roman" w:cs="Times New Roman"/>
          <w:sz w:val="24"/>
          <w:szCs w:val="24"/>
        </w:rPr>
      </w:pPr>
    </w:p>
    <w:p w:rsidR="00FB1F76" w:rsidRPr="001E7F21" w:rsidRDefault="00FB1F76" w:rsidP="001E7F21">
      <w:pPr>
        <w:spacing w:line="480" w:lineRule="auto"/>
        <w:ind w:firstLine="720"/>
        <w:rPr>
          <w:rFonts w:ascii="Times New Roman" w:hAnsi="Times New Roman" w:cs="Times New Roman"/>
          <w:sz w:val="24"/>
          <w:szCs w:val="24"/>
        </w:rPr>
      </w:pPr>
    </w:p>
    <w:p w:rsidR="00C456D2" w:rsidRPr="00C456D2" w:rsidRDefault="00C456D2" w:rsidP="00C456D2">
      <w:pPr>
        <w:spacing w:line="480" w:lineRule="auto"/>
        <w:jc w:val="center"/>
        <w:rPr>
          <w:rFonts w:ascii="Times New Roman" w:hAnsi="Times New Roman" w:cs="Times New Roman"/>
          <w:sz w:val="24"/>
          <w:szCs w:val="24"/>
        </w:rPr>
      </w:pPr>
      <w:r w:rsidRPr="00C456D2">
        <w:rPr>
          <w:rFonts w:ascii="Times New Roman" w:hAnsi="Times New Roman" w:cs="Times New Roman"/>
          <w:sz w:val="24"/>
          <w:szCs w:val="24"/>
        </w:rPr>
        <w:t>Higher Education</w:t>
      </w:r>
      <w:r w:rsidR="00E72CF3">
        <w:rPr>
          <w:rFonts w:ascii="Times New Roman" w:hAnsi="Times New Roman" w:cs="Times New Roman"/>
          <w:sz w:val="24"/>
          <w:szCs w:val="24"/>
        </w:rPr>
        <w:t xml:space="preserve"> </w:t>
      </w:r>
      <w:r w:rsidR="00BD7E89" w:rsidRPr="00B66301">
        <w:rPr>
          <w:rFonts w:ascii="Times New Roman" w:hAnsi="Times New Roman" w:cs="Times New Roman"/>
          <w:sz w:val="24"/>
          <w:szCs w:val="24"/>
        </w:rPr>
        <w:t>Institutions</w:t>
      </w:r>
    </w:p>
    <w:p w:rsidR="00FB1F76" w:rsidRPr="001E7F21" w:rsidRDefault="00D86343" w:rsidP="001E7F21">
      <w:pPr>
        <w:spacing w:line="480" w:lineRule="auto"/>
        <w:jc w:val="center"/>
        <w:rPr>
          <w:rFonts w:ascii="Times New Roman" w:hAnsi="Times New Roman" w:cs="Times New Roman"/>
          <w:sz w:val="24"/>
          <w:szCs w:val="24"/>
        </w:rPr>
      </w:pPr>
      <w:r w:rsidRPr="001E7F21">
        <w:rPr>
          <w:rFonts w:ascii="Times New Roman" w:hAnsi="Times New Roman" w:cs="Times New Roman"/>
          <w:sz w:val="24"/>
          <w:szCs w:val="24"/>
        </w:rPr>
        <w:t>Name</w:t>
      </w:r>
    </w:p>
    <w:p w:rsidR="00FB1F76" w:rsidRPr="001E7F21" w:rsidRDefault="00D86343" w:rsidP="001E7F21">
      <w:pPr>
        <w:spacing w:line="480" w:lineRule="auto"/>
        <w:jc w:val="center"/>
        <w:rPr>
          <w:rFonts w:ascii="Times New Roman" w:hAnsi="Times New Roman" w:cs="Times New Roman"/>
          <w:sz w:val="24"/>
          <w:szCs w:val="24"/>
        </w:rPr>
      </w:pPr>
      <w:r w:rsidRPr="001E7F21">
        <w:rPr>
          <w:rFonts w:ascii="Times New Roman" w:hAnsi="Times New Roman" w:cs="Times New Roman"/>
          <w:sz w:val="24"/>
          <w:szCs w:val="24"/>
        </w:rPr>
        <w:t>Institution</w:t>
      </w:r>
    </w:p>
    <w:p w:rsidR="00FB1F76" w:rsidRPr="001E7F21" w:rsidRDefault="00D86343" w:rsidP="001E7F21">
      <w:pPr>
        <w:spacing w:line="480" w:lineRule="auto"/>
        <w:jc w:val="center"/>
        <w:rPr>
          <w:rFonts w:ascii="Times New Roman" w:hAnsi="Times New Roman" w:cs="Times New Roman"/>
          <w:sz w:val="24"/>
          <w:szCs w:val="24"/>
        </w:rPr>
      </w:pPr>
      <w:r w:rsidRPr="001E7F21">
        <w:rPr>
          <w:rFonts w:ascii="Times New Roman" w:hAnsi="Times New Roman" w:cs="Times New Roman"/>
          <w:sz w:val="24"/>
          <w:szCs w:val="24"/>
        </w:rPr>
        <w:t>Date</w:t>
      </w:r>
    </w:p>
    <w:p w:rsidR="00944DC9" w:rsidRPr="001E7F21" w:rsidRDefault="00944DC9" w:rsidP="001E7F21">
      <w:pPr>
        <w:spacing w:line="480" w:lineRule="auto"/>
        <w:ind w:firstLine="720"/>
        <w:rPr>
          <w:rFonts w:ascii="Times New Roman" w:hAnsi="Times New Roman" w:cs="Times New Roman"/>
          <w:sz w:val="24"/>
          <w:szCs w:val="24"/>
        </w:rPr>
      </w:pPr>
    </w:p>
    <w:p w:rsidR="00944DC9" w:rsidRPr="001E7F21" w:rsidRDefault="00944DC9" w:rsidP="001E7F21">
      <w:pPr>
        <w:spacing w:line="480" w:lineRule="auto"/>
        <w:ind w:firstLine="720"/>
        <w:rPr>
          <w:rFonts w:ascii="Times New Roman" w:hAnsi="Times New Roman" w:cs="Times New Roman"/>
          <w:sz w:val="24"/>
          <w:szCs w:val="24"/>
        </w:rPr>
      </w:pPr>
    </w:p>
    <w:p w:rsidR="00E01015" w:rsidRDefault="00E01015" w:rsidP="001E7F21">
      <w:pPr>
        <w:spacing w:line="480" w:lineRule="auto"/>
        <w:ind w:firstLine="720"/>
        <w:rPr>
          <w:rFonts w:ascii="Times New Roman" w:hAnsi="Times New Roman" w:cs="Times New Roman"/>
          <w:sz w:val="24"/>
          <w:szCs w:val="24"/>
        </w:rPr>
      </w:pPr>
    </w:p>
    <w:p w:rsidR="00EC2FE4" w:rsidRDefault="00EC2FE4" w:rsidP="001E7F21">
      <w:pPr>
        <w:spacing w:line="480" w:lineRule="auto"/>
        <w:ind w:firstLine="720"/>
        <w:rPr>
          <w:rFonts w:ascii="Times New Roman" w:hAnsi="Times New Roman" w:cs="Times New Roman"/>
          <w:sz w:val="24"/>
          <w:szCs w:val="24"/>
        </w:rPr>
      </w:pPr>
    </w:p>
    <w:p w:rsidR="00EC2FE4" w:rsidRDefault="00EC2FE4" w:rsidP="001E7F21">
      <w:pPr>
        <w:spacing w:line="480" w:lineRule="auto"/>
        <w:ind w:firstLine="720"/>
        <w:rPr>
          <w:rFonts w:ascii="Times New Roman" w:hAnsi="Times New Roman" w:cs="Times New Roman"/>
          <w:sz w:val="24"/>
          <w:szCs w:val="24"/>
        </w:rPr>
      </w:pPr>
    </w:p>
    <w:p w:rsidR="00EC2FE4" w:rsidRDefault="00EC2FE4" w:rsidP="001E7F21">
      <w:pPr>
        <w:spacing w:line="480" w:lineRule="auto"/>
        <w:ind w:firstLine="720"/>
        <w:rPr>
          <w:rFonts w:ascii="Times New Roman" w:hAnsi="Times New Roman" w:cs="Times New Roman"/>
          <w:sz w:val="24"/>
          <w:szCs w:val="24"/>
        </w:rPr>
      </w:pPr>
    </w:p>
    <w:p w:rsidR="00EC2FE4" w:rsidRDefault="00EC2FE4" w:rsidP="001E7F21">
      <w:pPr>
        <w:spacing w:line="480" w:lineRule="auto"/>
        <w:ind w:firstLine="720"/>
        <w:rPr>
          <w:rFonts w:ascii="Times New Roman" w:hAnsi="Times New Roman" w:cs="Times New Roman"/>
          <w:sz w:val="24"/>
          <w:szCs w:val="24"/>
        </w:rPr>
      </w:pPr>
    </w:p>
    <w:p w:rsidR="00B66301" w:rsidRDefault="00B66301" w:rsidP="0039337F">
      <w:pPr>
        <w:spacing w:line="480" w:lineRule="auto"/>
        <w:ind w:firstLine="720"/>
        <w:jc w:val="center"/>
        <w:rPr>
          <w:rFonts w:ascii="Times New Roman" w:hAnsi="Times New Roman" w:cs="Times New Roman"/>
          <w:sz w:val="24"/>
          <w:szCs w:val="24"/>
        </w:rPr>
      </w:pPr>
      <w:r w:rsidRPr="00B66301">
        <w:rPr>
          <w:rFonts w:ascii="Times New Roman" w:hAnsi="Times New Roman" w:cs="Times New Roman"/>
          <w:sz w:val="24"/>
          <w:szCs w:val="24"/>
        </w:rPr>
        <w:lastRenderedPageBreak/>
        <w:t xml:space="preserve">Higher Education Institutions </w:t>
      </w:r>
    </w:p>
    <w:p w:rsidR="004810CD" w:rsidRDefault="00E72CF3" w:rsidP="004810CD">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 xml:space="preserve">Organizational </w:t>
      </w:r>
      <w:r w:rsidR="004810CD">
        <w:rPr>
          <w:rFonts w:ascii="Times New Roman" w:hAnsi="Times New Roman" w:cs="Times New Roman"/>
          <w:b/>
          <w:sz w:val="24"/>
          <w:szCs w:val="24"/>
        </w:rPr>
        <w:t>Culture</w:t>
      </w:r>
    </w:p>
    <w:p w:rsidR="004810CD" w:rsidRDefault="004810CD" w:rsidP="004810CD">
      <w:pPr>
        <w:spacing w:line="480" w:lineRule="auto"/>
        <w:ind w:firstLine="720"/>
        <w:rPr>
          <w:rFonts w:ascii="Times New Roman" w:hAnsi="Times New Roman" w:cs="Times New Roman"/>
          <w:sz w:val="24"/>
          <w:szCs w:val="24"/>
        </w:rPr>
      </w:pPr>
      <w:r>
        <w:rPr>
          <w:rFonts w:ascii="Times New Roman" w:hAnsi="Times New Roman" w:cs="Times New Roman"/>
          <w:sz w:val="24"/>
          <w:szCs w:val="24"/>
        </w:rPr>
        <w:t>Organization culture refers to certain norms and principles adopted by an organization. The company uses this culture in daily operations. Also, the standards determine how employees and management interact. Moreover, organizational culture is mainly determined by the style used by leaders</w:t>
      </w:r>
      <w:r w:rsidR="003B65DF" w:rsidRPr="003B65DF">
        <w:rPr>
          <w:rFonts w:ascii="Times New Roman" w:eastAsia="Times New Roman" w:hAnsi="Times New Roman" w:cs="Times New Roman"/>
          <w:sz w:val="24"/>
          <w:szCs w:val="24"/>
        </w:rPr>
        <w:t xml:space="preserve"> </w:t>
      </w:r>
      <w:r w:rsidR="003B65DF">
        <w:rPr>
          <w:rFonts w:ascii="Times New Roman" w:eastAsia="Times New Roman" w:hAnsi="Times New Roman" w:cs="Times New Roman"/>
          <w:sz w:val="24"/>
          <w:szCs w:val="24"/>
        </w:rPr>
        <w:t>(</w:t>
      </w:r>
      <w:r w:rsidR="003B65DF" w:rsidRPr="003B65DF">
        <w:rPr>
          <w:rFonts w:ascii="Times New Roman" w:eastAsia="Times New Roman" w:hAnsi="Times New Roman" w:cs="Times New Roman"/>
          <w:sz w:val="24"/>
          <w:szCs w:val="24"/>
        </w:rPr>
        <w:t>Lombardi,</w:t>
      </w:r>
      <w:r w:rsidR="003B65DF">
        <w:rPr>
          <w:rFonts w:ascii="Times New Roman" w:eastAsia="Times New Roman" w:hAnsi="Times New Roman" w:cs="Times New Roman"/>
          <w:sz w:val="24"/>
          <w:szCs w:val="24"/>
        </w:rPr>
        <w:t xml:space="preserve"> 2013)</w:t>
      </w:r>
      <w:r>
        <w:rPr>
          <w:rFonts w:ascii="Times New Roman" w:hAnsi="Times New Roman" w:cs="Times New Roman"/>
          <w:sz w:val="24"/>
          <w:szCs w:val="24"/>
        </w:rPr>
        <w:t>. For instance, a leader who involves employees in decision making is likely to influence the culture of trust and accountability. In this approach, employees feel like they are part of the organization. As a result, they become responsible and work towards achieving the goal of the organization</w:t>
      </w:r>
      <w:r w:rsidR="003A5A60">
        <w:rPr>
          <w:rFonts w:ascii="Times New Roman" w:hAnsi="Times New Roman" w:cs="Times New Roman"/>
          <w:sz w:val="24"/>
          <w:szCs w:val="24"/>
        </w:rPr>
        <w:t xml:space="preserve"> (</w:t>
      </w:r>
      <w:r w:rsidR="003A5A60">
        <w:rPr>
          <w:rFonts w:ascii="Times New Roman" w:hAnsi="Times New Roman" w:cs="Times New Roman"/>
          <w:color w:val="222222"/>
          <w:sz w:val="24"/>
          <w:szCs w:val="24"/>
          <w:shd w:val="clear" w:color="auto" w:fill="FFFFFF"/>
        </w:rPr>
        <w:t>Siehl</w:t>
      </w:r>
      <w:r w:rsidR="003B65DF">
        <w:rPr>
          <w:rFonts w:ascii="Times New Roman" w:hAnsi="Times New Roman" w:cs="Times New Roman"/>
          <w:color w:val="222222"/>
          <w:sz w:val="24"/>
          <w:szCs w:val="24"/>
          <w:shd w:val="clear" w:color="auto" w:fill="FFFFFF"/>
        </w:rPr>
        <w:t xml:space="preserve"> </w:t>
      </w:r>
      <w:r w:rsidR="003A5A60">
        <w:rPr>
          <w:rFonts w:ascii="Times New Roman" w:hAnsi="Times New Roman" w:cs="Times New Roman"/>
          <w:color w:val="222222"/>
          <w:sz w:val="24"/>
          <w:szCs w:val="24"/>
          <w:shd w:val="clear" w:color="auto" w:fill="FFFFFF"/>
        </w:rPr>
        <w:t>&amp; Martin, 2015</w:t>
      </w:r>
      <w:r w:rsidR="003A5A60" w:rsidRPr="003A5A60">
        <w:rPr>
          <w:rFonts w:ascii="Times New Roman" w:hAnsi="Times New Roman" w:cs="Times New Roman"/>
          <w:color w:val="222222"/>
          <w:sz w:val="24"/>
          <w:szCs w:val="24"/>
          <w:shd w:val="clear" w:color="auto" w:fill="FFFFFF"/>
        </w:rPr>
        <w:t>)</w:t>
      </w:r>
      <w:r>
        <w:rPr>
          <w:rFonts w:ascii="Times New Roman" w:hAnsi="Times New Roman" w:cs="Times New Roman"/>
          <w:sz w:val="24"/>
          <w:szCs w:val="24"/>
        </w:rPr>
        <w:t xml:space="preserve">. </w:t>
      </w:r>
    </w:p>
    <w:p w:rsidR="004810CD" w:rsidRDefault="004810CD" w:rsidP="004810CD">
      <w:pPr>
        <w:spacing w:line="480" w:lineRule="auto"/>
        <w:ind w:firstLine="720"/>
        <w:rPr>
          <w:rFonts w:ascii="Times New Roman" w:hAnsi="Times New Roman" w:cs="Times New Roman"/>
          <w:sz w:val="24"/>
          <w:szCs w:val="24"/>
        </w:rPr>
      </w:pPr>
      <w:r>
        <w:rPr>
          <w:rFonts w:ascii="Times New Roman" w:hAnsi="Times New Roman" w:cs="Times New Roman"/>
          <w:sz w:val="24"/>
          <w:szCs w:val="24"/>
        </w:rPr>
        <w:t>Organizational culture also plays an essential role in finance allocation and budget process. For instance, an organization that values employee engagement may also involve them in creating budgets. The company may request each department to produce its financial plan. Consequently, this may enable easier identification of resources required in each department. This approach can also promote accountability since each department is in charge of utilizing available resources effectively. It is also easier to track and plan for reoccurring expenses.  Moreover, promoting accountability as a culture can enable the management to identify any malpractice and take action easily</w:t>
      </w:r>
      <w:r w:rsidR="003B65DF">
        <w:rPr>
          <w:rFonts w:ascii="Times New Roman" w:hAnsi="Times New Roman" w:cs="Times New Roman"/>
          <w:sz w:val="24"/>
          <w:szCs w:val="24"/>
        </w:rPr>
        <w:t xml:space="preserve"> </w:t>
      </w:r>
      <w:r w:rsidR="00AA6C76">
        <w:rPr>
          <w:rFonts w:ascii="Times New Roman" w:hAnsi="Times New Roman" w:cs="Times New Roman"/>
          <w:sz w:val="24"/>
          <w:szCs w:val="24"/>
        </w:rPr>
        <w:t>(</w:t>
      </w:r>
      <w:r w:rsidR="00AA6C76">
        <w:rPr>
          <w:rFonts w:ascii="Times New Roman" w:hAnsi="Times New Roman" w:cs="Times New Roman"/>
          <w:color w:val="222222"/>
          <w:sz w:val="24"/>
          <w:szCs w:val="24"/>
          <w:shd w:val="clear" w:color="auto" w:fill="FFFFFF"/>
        </w:rPr>
        <w:t>Siehl</w:t>
      </w:r>
      <w:r w:rsidR="003B65DF">
        <w:rPr>
          <w:rFonts w:ascii="Times New Roman" w:hAnsi="Times New Roman" w:cs="Times New Roman"/>
          <w:color w:val="222222"/>
          <w:sz w:val="24"/>
          <w:szCs w:val="24"/>
          <w:shd w:val="clear" w:color="auto" w:fill="FFFFFF"/>
        </w:rPr>
        <w:t xml:space="preserve"> </w:t>
      </w:r>
      <w:r w:rsidR="00AA6C76">
        <w:rPr>
          <w:rFonts w:ascii="Times New Roman" w:hAnsi="Times New Roman" w:cs="Times New Roman"/>
          <w:color w:val="222222"/>
          <w:sz w:val="24"/>
          <w:szCs w:val="24"/>
          <w:shd w:val="clear" w:color="auto" w:fill="FFFFFF"/>
        </w:rPr>
        <w:t>&amp; Martin, 2015</w:t>
      </w:r>
      <w:r w:rsidR="00AA6C76" w:rsidRPr="003A5A60">
        <w:rPr>
          <w:rFonts w:ascii="Times New Roman" w:hAnsi="Times New Roman" w:cs="Times New Roman"/>
          <w:color w:val="222222"/>
          <w:sz w:val="24"/>
          <w:szCs w:val="24"/>
          <w:shd w:val="clear" w:color="auto" w:fill="FFFFFF"/>
        </w:rPr>
        <w:t>)</w:t>
      </w:r>
      <w:r>
        <w:rPr>
          <w:rFonts w:ascii="Times New Roman" w:hAnsi="Times New Roman" w:cs="Times New Roman"/>
          <w:sz w:val="24"/>
          <w:szCs w:val="24"/>
        </w:rPr>
        <w:t>.</w:t>
      </w:r>
    </w:p>
    <w:p w:rsidR="004810CD" w:rsidRDefault="004810CD" w:rsidP="004810CD">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Topic Three (HED=Higher Education)</w:t>
      </w:r>
    </w:p>
    <w:p w:rsidR="004810CD" w:rsidRDefault="004810CD" w:rsidP="004810CD">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 xml:space="preserve">Question 1: A Successful University </w:t>
      </w:r>
    </w:p>
    <w:p w:rsidR="004810CD" w:rsidRDefault="004810CD" w:rsidP="004810C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Southern New Hampshire University (SNHU) is an example of a successful university. This institution uses precise key performance indicators to determine its financial </w:t>
      </w:r>
      <w:r>
        <w:rPr>
          <w:rFonts w:ascii="Times New Roman" w:hAnsi="Times New Roman" w:cs="Times New Roman"/>
          <w:sz w:val="24"/>
          <w:szCs w:val="24"/>
        </w:rPr>
        <w:lastRenderedPageBreak/>
        <w:t>success. First, the university ensures that its expenditure does not exceed the revenue. This practice ensures that the organization has enough finances to cater for teaching and other facilities. For instance, in 2009, the organization was able to invest excess funds in launching the SNHU Advantage Program, which enables working students to plan their classes (</w:t>
      </w:r>
      <w:r>
        <w:rPr>
          <w:rFonts w:ascii="Times New Roman" w:hAnsi="Times New Roman" w:cs="Times New Roman"/>
          <w:color w:val="222222"/>
          <w:sz w:val="24"/>
          <w:szCs w:val="24"/>
          <w:shd w:val="clear" w:color="auto" w:fill="FFFFFF"/>
        </w:rPr>
        <w:t>Pink et al., 2015)</w:t>
      </w:r>
      <w:r>
        <w:rPr>
          <w:rFonts w:ascii="Times New Roman" w:hAnsi="Times New Roman" w:cs="Times New Roman"/>
          <w:sz w:val="24"/>
          <w:szCs w:val="24"/>
        </w:rPr>
        <w:t xml:space="preserve">. </w:t>
      </w:r>
    </w:p>
    <w:p w:rsidR="004810CD" w:rsidRDefault="004810CD" w:rsidP="004810C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second indicator is increasing student enro</w:t>
      </w:r>
      <w:r w:rsidR="003B65DF">
        <w:rPr>
          <w:rFonts w:ascii="Times New Roman" w:hAnsi="Times New Roman" w:cs="Times New Roman"/>
          <w:sz w:val="24"/>
          <w:szCs w:val="24"/>
        </w:rPr>
        <w:t>llment. The number of students in</w:t>
      </w:r>
      <w:r>
        <w:rPr>
          <w:rFonts w:ascii="Times New Roman" w:hAnsi="Times New Roman" w:cs="Times New Roman"/>
          <w:sz w:val="24"/>
          <w:szCs w:val="24"/>
        </w:rPr>
        <w:t xml:space="preserve"> a university can also determine financial success. SNHU has enrolled more than 5,000 students in its campus. Also, more than 80,000 students are enrolled in the online platform.  The tuition received from these students also acts as a source of revenue for the institution. Moreover, the university also ensures that these students receive a quality educ</w:t>
      </w:r>
      <w:bookmarkStart w:id="0" w:name="_GoBack"/>
      <w:bookmarkEnd w:id="0"/>
      <w:r>
        <w:rPr>
          <w:rFonts w:ascii="Times New Roman" w:hAnsi="Times New Roman" w:cs="Times New Roman"/>
          <w:sz w:val="24"/>
          <w:szCs w:val="24"/>
        </w:rPr>
        <w:t>ation. This approach continues to attract more students to enroll in the university (</w:t>
      </w:r>
      <w:r>
        <w:rPr>
          <w:rFonts w:ascii="Times New Roman" w:hAnsi="Times New Roman" w:cs="Times New Roman"/>
          <w:color w:val="222222"/>
          <w:sz w:val="24"/>
          <w:szCs w:val="24"/>
          <w:shd w:val="clear" w:color="auto" w:fill="FFFFFF"/>
        </w:rPr>
        <w:t>Pink et al., 2015)</w:t>
      </w:r>
      <w:r>
        <w:rPr>
          <w:rFonts w:ascii="Times New Roman" w:hAnsi="Times New Roman" w:cs="Times New Roman"/>
          <w:sz w:val="24"/>
          <w:szCs w:val="24"/>
        </w:rPr>
        <w:t xml:space="preserve">. </w:t>
      </w:r>
    </w:p>
    <w:p w:rsidR="004810CD" w:rsidRDefault="004810CD" w:rsidP="004810C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third performance indicator is the student to teacher ratio. One of the administration’s strategic goals in SNHU is to ensure that each student receives maximum support from instructors. The current student to teacher ratio in the institution is 19:1. Moreover, the institution also invests in providing a learning environment for the teachers. This approach also enables the university to retain its employees (</w:t>
      </w:r>
      <w:r>
        <w:rPr>
          <w:rFonts w:ascii="Times New Roman" w:hAnsi="Times New Roman" w:cs="Times New Roman"/>
          <w:sz w:val="24"/>
          <w:szCs w:val="24"/>
          <w:shd w:val="clear" w:color="auto" w:fill="FFFFFF"/>
        </w:rPr>
        <w:t>Velimirović, Velimirović, &amp;Stanković, 2016</w:t>
      </w:r>
      <w:r>
        <w:rPr>
          <w:rFonts w:ascii="Times New Roman" w:hAnsi="Times New Roman" w:cs="Times New Roman"/>
          <w:color w:val="222222"/>
          <w:sz w:val="24"/>
          <w:szCs w:val="24"/>
          <w:shd w:val="clear" w:color="auto" w:fill="FFFFFF"/>
        </w:rPr>
        <w:t>)</w:t>
      </w:r>
      <w:r>
        <w:rPr>
          <w:rFonts w:ascii="Times New Roman" w:hAnsi="Times New Roman" w:cs="Times New Roman"/>
          <w:sz w:val="24"/>
          <w:szCs w:val="24"/>
        </w:rPr>
        <w:t xml:space="preserve">. </w:t>
      </w:r>
    </w:p>
    <w:p w:rsidR="004810CD" w:rsidRDefault="004810CD" w:rsidP="004810C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three indicators also relate to fragility indicators</w:t>
      </w:r>
      <w:r w:rsidR="003B65DF">
        <w:rPr>
          <w:rFonts w:ascii="Times New Roman" w:hAnsi="Times New Roman" w:cs="Times New Roman"/>
          <w:sz w:val="24"/>
          <w:szCs w:val="24"/>
        </w:rPr>
        <w:t xml:space="preserve"> </w:t>
      </w:r>
      <w:r w:rsidR="003B65DF">
        <w:rPr>
          <w:rFonts w:ascii="Times New Roman" w:eastAsia="Times New Roman" w:hAnsi="Times New Roman" w:cs="Times New Roman"/>
          <w:sz w:val="24"/>
          <w:szCs w:val="24"/>
        </w:rPr>
        <w:t>(</w:t>
      </w:r>
      <w:r w:rsidR="003B65DF" w:rsidRPr="003B65DF">
        <w:rPr>
          <w:rFonts w:ascii="Times New Roman" w:eastAsia="Times New Roman" w:hAnsi="Times New Roman" w:cs="Times New Roman"/>
          <w:sz w:val="24"/>
          <w:szCs w:val="24"/>
        </w:rPr>
        <w:t>Lombardi,</w:t>
      </w:r>
      <w:r w:rsidR="003B65DF">
        <w:rPr>
          <w:rFonts w:ascii="Times New Roman" w:eastAsia="Times New Roman" w:hAnsi="Times New Roman" w:cs="Times New Roman"/>
          <w:sz w:val="24"/>
          <w:szCs w:val="24"/>
        </w:rPr>
        <w:t xml:space="preserve"> 2013)</w:t>
      </w:r>
      <w:r>
        <w:rPr>
          <w:rFonts w:ascii="Times New Roman" w:hAnsi="Times New Roman" w:cs="Times New Roman"/>
          <w:sz w:val="24"/>
          <w:szCs w:val="24"/>
        </w:rPr>
        <w:t>. However, most aspects in the institution do not show signs of fragility. For example, the ratio between endowment and operating costs of the university is less than 1:3. The endowment in 2018 was $52million while the operating cost was $48million. Therefore, this indicator demonstrates the financial stability of the institution (</w:t>
      </w:r>
      <w:r>
        <w:rPr>
          <w:rFonts w:ascii="Times New Roman" w:hAnsi="Times New Roman" w:cs="Times New Roman"/>
          <w:color w:val="222222"/>
          <w:sz w:val="24"/>
          <w:szCs w:val="24"/>
          <w:shd w:val="clear" w:color="auto" w:fill="FFFFFF"/>
        </w:rPr>
        <w:t>Pink et al., 2015)</w:t>
      </w:r>
      <w:r>
        <w:rPr>
          <w:rFonts w:ascii="Times New Roman" w:hAnsi="Times New Roman" w:cs="Times New Roman"/>
          <w:sz w:val="24"/>
          <w:szCs w:val="24"/>
        </w:rPr>
        <w:t xml:space="preserve">. </w:t>
      </w:r>
    </w:p>
    <w:p w:rsidR="003B65DF" w:rsidRDefault="003B65DF" w:rsidP="004810CD">
      <w:pPr>
        <w:spacing w:line="480" w:lineRule="auto"/>
        <w:ind w:firstLine="720"/>
        <w:jc w:val="center"/>
        <w:rPr>
          <w:rFonts w:ascii="Times New Roman" w:hAnsi="Times New Roman" w:cs="Times New Roman"/>
          <w:b/>
          <w:sz w:val="24"/>
          <w:szCs w:val="24"/>
        </w:rPr>
      </w:pPr>
    </w:p>
    <w:p w:rsidR="004810CD" w:rsidRDefault="004810CD" w:rsidP="004810CD">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lastRenderedPageBreak/>
        <w:t>Question 2: SACSCOC standard</w:t>
      </w:r>
    </w:p>
    <w:p w:rsidR="004810CD" w:rsidRDefault="004810CD" w:rsidP="004810C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first SACSCOC standard in section 13 affirms that institutions require stable financial resources to promote the mission of the institution. This standard also implies that institutions should ensure that the available resources should support the organization’s programs </w:t>
      </w:r>
      <w:r>
        <w:rPr>
          <w:rFonts w:ascii="Times New Roman" w:hAnsi="Times New Roman" w:cs="Times New Roman"/>
          <w:color w:val="222222"/>
          <w:sz w:val="24"/>
          <w:szCs w:val="24"/>
          <w:shd w:val="clear" w:color="auto" w:fill="FFFFFF"/>
        </w:rPr>
        <w:t>(SACSCOC, 2012)</w:t>
      </w:r>
      <w:r>
        <w:rPr>
          <w:rFonts w:ascii="Times New Roman" w:hAnsi="Times New Roman" w:cs="Times New Roman"/>
          <w:sz w:val="24"/>
          <w:szCs w:val="24"/>
        </w:rPr>
        <w:t xml:space="preserve">. Therefore, this approach is essential to ensure that learners in the university receive quality services. For example, SNHU demonstrates this aspect through its operations. The mission of the institution is to ensure that students achieve success. Consequently, the university has invested in multiple resources to improve access to the university’s facilities. The online program has attracted thousands of students across and beyond the country. </w:t>
      </w:r>
    </w:p>
    <w:p w:rsidR="004810CD" w:rsidRDefault="004810CD" w:rsidP="004810C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Financial stability of the institution is achieved through tuition fee from a high number of students, state funding, and donations. These sources ensure that the university continues to support its programs. Also, the Advantage Program has enough instructors to ensure that busy students can attend classes at their preferred time. </w:t>
      </w:r>
    </w:p>
    <w:p w:rsidR="004810CD" w:rsidRDefault="004810CD" w:rsidP="004810CD">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 xml:space="preserve">Question 3: Private and Public HED Institutions </w:t>
      </w:r>
    </w:p>
    <w:p w:rsidR="004810CD" w:rsidRDefault="004810CD" w:rsidP="004810CD">
      <w:pPr>
        <w:spacing w:line="480" w:lineRule="auto"/>
        <w:ind w:firstLine="720"/>
        <w:rPr>
          <w:rFonts w:ascii="Times New Roman" w:hAnsi="Times New Roman" w:cs="Times New Roman"/>
          <w:sz w:val="24"/>
          <w:szCs w:val="24"/>
        </w:rPr>
      </w:pPr>
      <w:r>
        <w:rPr>
          <w:rFonts w:ascii="Times New Roman" w:hAnsi="Times New Roman" w:cs="Times New Roman"/>
          <w:sz w:val="24"/>
          <w:szCs w:val="24"/>
        </w:rPr>
        <w:t>I chose the University of Michigan as a public university and Stanford University as a private university. The University of Michigan receives 16% of funding from the state government. This income is mainly used to support teaching and academic services required by students. Also, the money from the state is used to purchase resources that are necessary for research and maintenance. On the other hand, Stanford University receives little support from the government. Also, this money is received in the form of grants and can only be used for a specific purpose. For instance, finances received for biological research cannot be used to fund engineering research (</w:t>
      </w:r>
      <w:r>
        <w:rPr>
          <w:rStyle w:val="byline"/>
          <w:rFonts w:ascii="Times New Roman" w:hAnsi="Times New Roman" w:cs="Times New Roman"/>
          <w:sz w:val="24"/>
          <w:szCs w:val="24"/>
          <w:bdr w:val="none" w:sz="0" w:space="0" w:color="auto" w:frame="1"/>
        </w:rPr>
        <w:t>Agbonile</w:t>
      </w:r>
      <w:r>
        <w:rPr>
          <w:rFonts w:ascii="Times New Roman" w:hAnsi="Times New Roman" w:cs="Times New Roman"/>
          <w:sz w:val="24"/>
          <w:szCs w:val="24"/>
          <w:shd w:val="clear" w:color="auto" w:fill="FFFFFF"/>
        </w:rPr>
        <w:t>, 2019)</w:t>
      </w:r>
      <w:r>
        <w:rPr>
          <w:rFonts w:ascii="Times New Roman" w:hAnsi="Times New Roman" w:cs="Times New Roman"/>
          <w:sz w:val="24"/>
          <w:szCs w:val="24"/>
        </w:rPr>
        <w:t xml:space="preserve">. </w:t>
      </w:r>
    </w:p>
    <w:p w:rsidR="004810CD" w:rsidRDefault="004810CD" w:rsidP="004810CD">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revenues produced by both of the universities have some similarities and differences. Both of these institutions receive rely on student tuition for income. However, the University of Michigan receives more income (72%) from students. On the other hand, Stanford University only receives approximately 16% from fees paid by students. Also, revenue received from in the universities is mainly used for student support. For instance, the University of Michigan spends its income on library fees, insurance, academic advising, legal services, and to support human resource.</w:t>
      </w:r>
    </w:p>
    <w:p w:rsidR="004810CD" w:rsidRDefault="004810CD" w:rsidP="004810CD">
      <w:pPr>
        <w:spacing w:line="480" w:lineRule="auto"/>
        <w:ind w:firstLine="720"/>
        <w:rPr>
          <w:rFonts w:ascii="Times New Roman" w:hAnsi="Times New Roman" w:cs="Times New Roman"/>
          <w:sz w:val="24"/>
          <w:szCs w:val="24"/>
        </w:rPr>
      </w:pPr>
      <w:r>
        <w:rPr>
          <w:rFonts w:ascii="Times New Roman" w:hAnsi="Times New Roman" w:cs="Times New Roman"/>
          <w:sz w:val="24"/>
          <w:szCs w:val="24"/>
        </w:rPr>
        <w:t>Both of these universities also have planned endorsements. The University of Michigan spends 21% on financing student scholarships. Another 21% is used to finance medicine, patient care, and research (</w:t>
      </w:r>
      <w:r>
        <w:rPr>
          <w:rFonts w:ascii="Times New Roman" w:hAnsi="Times New Roman" w:cs="Times New Roman"/>
          <w:sz w:val="24"/>
          <w:szCs w:val="24"/>
          <w:shd w:val="clear" w:color="auto" w:fill="FFFFFF"/>
        </w:rPr>
        <w:t>University of Michigan, 2019)</w:t>
      </w:r>
      <w:r>
        <w:rPr>
          <w:rFonts w:ascii="Times New Roman" w:hAnsi="Times New Roman" w:cs="Times New Roman"/>
          <w:sz w:val="24"/>
          <w:szCs w:val="24"/>
        </w:rPr>
        <w:t>. 17% is used to cater to teachers, 11% is used to finance research, 27% to support academic services, and 2% on community services. On the other hand, Stanford University has fewer endorsements since 78% of the revenue is restricted and can only be accessed for specific purposes. The organization only uses 5% of the revenue for endorsements each year. Also, most of this spending is used as an investment since it is a private organization. However, the organization also allocates part of the revenue to donate to programs that are meant to benefit the community (</w:t>
      </w:r>
      <w:r>
        <w:rPr>
          <w:rStyle w:val="byline"/>
          <w:rFonts w:ascii="Times New Roman" w:hAnsi="Times New Roman" w:cs="Times New Roman"/>
          <w:sz w:val="24"/>
          <w:szCs w:val="24"/>
          <w:bdr w:val="none" w:sz="0" w:space="0" w:color="auto" w:frame="1"/>
        </w:rPr>
        <w:t>Agbonile</w:t>
      </w:r>
      <w:r>
        <w:rPr>
          <w:rFonts w:ascii="Times New Roman" w:hAnsi="Times New Roman" w:cs="Times New Roman"/>
          <w:sz w:val="24"/>
          <w:szCs w:val="24"/>
          <w:shd w:val="clear" w:color="auto" w:fill="FFFFFF"/>
        </w:rPr>
        <w:t>, 2019)</w:t>
      </w:r>
      <w:r>
        <w:rPr>
          <w:rFonts w:ascii="Times New Roman" w:hAnsi="Times New Roman" w:cs="Times New Roman"/>
          <w:sz w:val="24"/>
          <w:szCs w:val="24"/>
        </w:rPr>
        <w:t xml:space="preserve">. </w:t>
      </w:r>
      <w:r>
        <w:rPr>
          <w:rFonts w:ascii="Times New Roman" w:hAnsi="Times New Roman" w:cs="Times New Roman"/>
          <w:sz w:val="24"/>
          <w:szCs w:val="24"/>
        </w:rPr>
        <w:tab/>
      </w:r>
    </w:p>
    <w:p w:rsidR="004810CD" w:rsidRDefault="004810CD" w:rsidP="004810C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sum up, diverse organizations use different approaches to promote financial growth. The organizational culture also plays a vital role in supporting this growth. Values such as trust and accountability determine how finances are allocated and spent. Moreover, organizations use specific key indicators to measure their success. These indicators are used to track revenue and prevent financial fragility. Also, standards provided by SACSCOC enable organizations to maintain financial stability and achieve their mission. Finally, private and public universities also </w:t>
      </w:r>
      <w:r>
        <w:rPr>
          <w:rFonts w:ascii="Times New Roman" w:hAnsi="Times New Roman" w:cs="Times New Roman"/>
          <w:sz w:val="24"/>
          <w:szCs w:val="24"/>
        </w:rPr>
        <w:lastRenderedPageBreak/>
        <w:t>demonstrate different sources and use of revenue. Both of these institutions use different approaches to cope with increasing competition. However, private universities tend to adopt strict measures since they receive less support from the government (</w:t>
      </w:r>
      <w:r>
        <w:rPr>
          <w:rStyle w:val="byline"/>
          <w:rFonts w:ascii="Times New Roman" w:hAnsi="Times New Roman" w:cs="Times New Roman"/>
          <w:sz w:val="24"/>
          <w:szCs w:val="24"/>
          <w:bdr w:val="none" w:sz="0" w:space="0" w:color="auto" w:frame="1"/>
        </w:rPr>
        <w:t>Agbonile</w:t>
      </w:r>
      <w:r>
        <w:rPr>
          <w:rFonts w:ascii="Times New Roman" w:hAnsi="Times New Roman" w:cs="Times New Roman"/>
          <w:sz w:val="24"/>
          <w:szCs w:val="24"/>
          <w:shd w:val="clear" w:color="auto" w:fill="FFFFFF"/>
        </w:rPr>
        <w:t>, 2019)</w:t>
      </w:r>
      <w:r>
        <w:rPr>
          <w:rFonts w:ascii="Times New Roman" w:hAnsi="Times New Roman" w:cs="Times New Roman"/>
          <w:sz w:val="24"/>
          <w:szCs w:val="24"/>
        </w:rPr>
        <w:t xml:space="preserve">. </w:t>
      </w:r>
    </w:p>
    <w:p w:rsidR="004810CD" w:rsidRDefault="00E72CF3" w:rsidP="004810CD">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Bonus </w:t>
      </w:r>
      <w:r w:rsidR="003B65DF">
        <w:rPr>
          <w:rFonts w:ascii="Times New Roman" w:hAnsi="Times New Roman" w:cs="Times New Roman"/>
          <w:b/>
          <w:sz w:val="24"/>
          <w:szCs w:val="24"/>
        </w:rPr>
        <w:t>Work: Reflection</w:t>
      </w:r>
      <w:r>
        <w:rPr>
          <w:rFonts w:ascii="Times New Roman" w:hAnsi="Times New Roman" w:cs="Times New Roman"/>
          <w:b/>
          <w:sz w:val="24"/>
          <w:szCs w:val="24"/>
        </w:rPr>
        <w:t xml:space="preserve"> and </w:t>
      </w:r>
      <w:r w:rsidR="003B65DF">
        <w:rPr>
          <w:rFonts w:ascii="Times New Roman" w:hAnsi="Times New Roman" w:cs="Times New Roman"/>
          <w:b/>
          <w:sz w:val="24"/>
          <w:szCs w:val="24"/>
        </w:rPr>
        <w:t>Practice.</w:t>
      </w:r>
    </w:p>
    <w:p w:rsidR="00E72CF3" w:rsidRDefault="00E72CF3" w:rsidP="004810CD">
      <w:pPr>
        <w:spacing w:line="480" w:lineRule="auto"/>
        <w:jc w:val="center"/>
        <w:rPr>
          <w:rFonts w:ascii="Times New Roman" w:hAnsi="Times New Roman" w:cs="Times New Roman"/>
          <w:b/>
          <w:sz w:val="24"/>
          <w:szCs w:val="24"/>
        </w:rPr>
      </w:pPr>
      <w:r>
        <w:rPr>
          <w:rFonts w:ascii="Times New Roman" w:hAnsi="Times New Roman" w:cs="Times New Roman"/>
          <w:b/>
          <w:sz w:val="24"/>
          <w:szCs w:val="24"/>
        </w:rPr>
        <w:t>Question 1</w:t>
      </w:r>
    </w:p>
    <w:p w:rsidR="004810CD" w:rsidRDefault="004810CD" w:rsidP="004810CD">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The following are strategic goals that will align with the start-up university's mission:  </w:t>
      </w:r>
    </w:p>
    <w:p w:rsidR="004810CD" w:rsidRDefault="004810CD" w:rsidP="004810CD">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To promote diversity by including different communities in the organization. </w:t>
      </w:r>
    </w:p>
    <w:p w:rsidR="004810CD" w:rsidRDefault="004810CD" w:rsidP="004810CD">
      <w:pPr>
        <w:pStyle w:val="ListParagraph"/>
        <w:numPr>
          <w:ilvl w:val="0"/>
          <w:numId w:val="1"/>
        </w:numPr>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rPr>
        <w:t xml:space="preserve">To encourage student enrollment by investing in infrastructure and academic resources. </w:t>
      </w:r>
    </w:p>
    <w:p w:rsidR="004810CD" w:rsidRDefault="004810CD" w:rsidP="004810CD">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To leverage local and international collaboration with environmental organizations. </w:t>
      </w:r>
    </w:p>
    <w:p w:rsidR="004810CD" w:rsidRDefault="004810CD" w:rsidP="004810CD">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To enhance technology and encourage innovation among students. </w:t>
      </w:r>
    </w:p>
    <w:p w:rsidR="00E72CF3" w:rsidRPr="00E72CF3" w:rsidRDefault="00E72CF3" w:rsidP="00E72CF3">
      <w:pPr>
        <w:spacing w:line="480" w:lineRule="auto"/>
        <w:ind w:left="360"/>
        <w:jc w:val="center"/>
        <w:rPr>
          <w:rFonts w:ascii="Times New Roman" w:hAnsi="Times New Roman" w:cs="Times New Roman"/>
          <w:b/>
          <w:sz w:val="24"/>
          <w:szCs w:val="24"/>
        </w:rPr>
      </w:pPr>
      <w:r w:rsidRPr="00E72CF3">
        <w:rPr>
          <w:rFonts w:ascii="Times New Roman" w:hAnsi="Times New Roman" w:cs="Times New Roman"/>
          <w:b/>
          <w:sz w:val="24"/>
          <w:szCs w:val="24"/>
        </w:rPr>
        <w:t>Question 2</w:t>
      </w:r>
    </w:p>
    <w:p w:rsidR="004810CD" w:rsidRDefault="004810CD" w:rsidP="004810CD">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The first reason for choosing these goals is to create an organizational culture that encourages interaction by including diverse people. Second, these objectives encourage learning by creating a comfortable environment. Third, these objectives will promote financial support by involving different stakeholders. Finally, successful graduates from the university will promote environmental sustainability by applying various technologies and innovations. </w:t>
      </w:r>
    </w:p>
    <w:p w:rsidR="003A5A60" w:rsidRDefault="004810CD" w:rsidP="00691699">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Key indicators will measure these goals. The first indicator will be to check and ensure that the number of students enrolled and retained is increasing. The second indicator will be to identify the number of the partnerships created and to ensure that these links are beneficial. The third indicator will be to ensure that the organization’s revenue increases as compared to </w:t>
      </w:r>
      <w:r>
        <w:rPr>
          <w:rFonts w:ascii="Times New Roman" w:hAnsi="Times New Roman" w:cs="Times New Roman"/>
          <w:sz w:val="24"/>
          <w:szCs w:val="24"/>
        </w:rPr>
        <w:lastRenderedPageBreak/>
        <w:t>expenditure. Finally, the goals will have to increase the number of professions who will promote environmental conservation (</w:t>
      </w:r>
      <w:r>
        <w:rPr>
          <w:rFonts w:ascii="Times New Roman" w:hAnsi="Times New Roman" w:cs="Times New Roman"/>
          <w:sz w:val="24"/>
          <w:szCs w:val="24"/>
          <w:shd w:val="clear" w:color="auto" w:fill="FFFFFF"/>
        </w:rPr>
        <w:t>Fathi, M., &amp; Wilson, 2015)</w:t>
      </w:r>
      <w:r>
        <w:rPr>
          <w:rFonts w:ascii="Times New Roman" w:hAnsi="Times New Roman" w:cs="Times New Roman"/>
          <w:sz w:val="24"/>
          <w:szCs w:val="24"/>
        </w:rPr>
        <w:t xml:space="preserve">. </w:t>
      </w:r>
    </w:p>
    <w:p w:rsidR="003A5A60" w:rsidRDefault="003A5A60" w:rsidP="004810CD">
      <w:pPr>
        <w:spacing w:line="480" w:lineRule="auto"/>
        <w:jc w:val="center"/>
        <w:rPr>
          <w:rFonts w:ascii="Times New Roman" w:hAnsi="Times New Roman" w:cs="Times New Roman"/>
          <w:sz w:val="24"/>
          <w:szCs w:val="24"/>
        </w:rPr>
      </w:pPr>
    </w:p>
    <w:p w:rsidR="003B65DF" w:rsidRDefault="003B65DF" w:rsidP="004810CD">
      <w:pPr>
        <w:spacing w:line="480" w:lineRule="auto"/>
        <w:jc w:val="center"/>
        <w:rPr>
          <w:rFonts w:ascii="Times New Roman" w:hAnsi="Times New Roman" w:cs="Times New Roman"/>
          <w:sz w:val="24"/>
          <w:szCs w:val="24"/>
        </w:rPr>
      </w:pPr>
    </w:p>
    <w:p w:rsidR="003B65DF" w:rsidRDefault="003B65DF" w:rsidP="004810CD">
      <w:pPr>
        <w:spacing w:line="480" w:lineRule="auto"/>
        <w:jc w:val="center"/>
        <w:rPr>
          <w:rFonts w:ascii="Times New Roman" w:hAnsi="Times New Roman" w:cs="Times New Roman"/>
          <w:sz w:val="24"/>
          <w:szCs w:val="24"/>
        </w:rPr>
      </w:pPr>
    </w:p>
    <w:p w:rsidR="003B65DF" w:rsidRDefault="003B65DF" w:rsidP="004810CD">
      <w:pPr>
        <w:spacing w:line="480" w:lineRule="auto"/>
        <w:jc w:val="center"/>
        <w:rPr>
          <w:rFonts w:ascii="Times New Roman" w:hAnsi="Times New Roman" w:cs="Times New Roman"/>
          <w:sz w:val="24"/>
          <w:szCs w:val="24"/>
        </w:rPr>
      </w:pPr>
    </w:p>
    <w:p w:rsidR="003B65DF" w:rsidRDefault="003B65DF" w:rsidP="004810CD">
      <w:pPr>
        <w:spacing w:line="480" w:lineRule="auto"/>
        <w:jc w:val="center"/>
        <w:rPr>
          <w:rFonts w:ascii="Times New Roman" w:hAnsi="Times New Roman" w:cs="Times New Roman"/>
          <w:sz w:val="24"/>
          <w:szCs w:val="24"/>
        </w:rPr>
      </w:pPr>
    </w:p>
    <w:p w:rsidR="003B65DF" w:rsidRDefault="003B65DF" w:rsidP="004810CD">
      <w:pPr>
        <w:spacing w:line="480" w:lineRule="auto"/>
        <w:jc w:val="center"/>
        <w:rPr>
          <w:rFonts w:ascii="Times New Roman" w:hAnsi="Times New Roman" w:cs="Times New Roman"/>
          <w:sz w:val="24"/>
          <w:szCs w:val="24"/>
        </w:rPr>
      </w:pPr>
    </w:p>
    <w:p w:rsidR="003B65DF" w:rsidRDefault="003B65DF" w:rsidP="004810CD">
      <w:pPr>
        <w:spacing w:line="480" w:lineRule="auto"/>
        <w:jc w:val="center"/>
        <w:rPr>
          <w:rFonts w:ascii="Times New Roman" w:hAnsi="Times New Roman" w:cs="Times New Roman"/>
          <w:sz w:val="24"/>
          <w:szCs w:val="24"/>
        </w:rPr>
      </w:pPr>
    </w:p>
    <w:p w:rsidR="003B65DF" w:rsidRDefault="003B65DF" w:rsidP="004810CD">
      <w:pPr>
        <w:spacing w:line="480" w:lineRule="auto"/>
        <w:jc w:val="center"/>
        <w:rPr>
          <w:rFonts w:ascii="Times New Roman" w:hAnsi="Times New Roman" w:cs="Times New Roman"/>
          <w:sz w:val="24"/>
          <w:szCs w:val="24"/>
        </w:rPr>
      </w:pPr>
    </w:p>
    <w:p w:rsidR="003B65DF" w:rsidRDefault="003B65DF" w:rsidP="004810CD">
      <w:pPr>
        <w:spacing w:line="480" w:lineRule="auto"/>
        <w:jc w:val="center"/>
        <w:rPr>
          <w:rFonts w:ascii="Times New Roman" w:hAnsi="Times New Roman" w:cs="Times New Roman"/>
          <w:sz w:val="24"/>
          <w:szCs w:val="24"/>
        </w:rPr>
      </w:pPr>
    </w:p>
    <w:p w:rsidR="003B65DF" w:rsidRDefault="003B65DF" w:rsidP="004810CD">
      <w:pPr>
        <w:spacing w:line="480" w:lineRule="auto"/>
        <w:jc w:val="center"/>
        <w:rPr>
          <w:rFonts w:ascii="Times New Roman" w:hAnsi="Times New Roman" w:cs="Times New Roman"/>
          <w:sz w:val="24"/>
          <w:szCs w:val="24"/>
        </w:rPr>
      </w:pPr>
    </w:p>
    <w:p w:rsidR="003B65DF" w:rsidRDefault="003B65DF" w:rsidP="004810CD">
      <w:pPr>
        <w:spacing w:line="480" w:lineRule="auto"/>
        <w:jc w:val="center"/>
        <w:rPr>
          <w:rFonts w:ascii="Times New Roman" w:hAnsi="Times New Roman" w:cs="Times New Roman"/>
          <w:sz w:val="24"/>
          <w:szCs w:val="24"/>
        </w:rPr>
      </w:pPr>
    </w:p>
    <w:p w:rsidR="003B65DF" w:rsidRDefault="003B65DF" w:rsidP="004810CD">
      <w:pPr>
        <w:spacing w:line="480" w:lineRule="auto"/>
        <w:jc w:val="center"/>
        <w:rPr>
          <w:rFonts w:ascii="Times New Roman" w:hAnsi="Times New Roman" w:cs="Times New Roman"/>
          <w:sz w:val="24"/>
          <w:szCs w:val="24"/>
        </w:rPr>
      </w:pPr>
    </w:p>
    <w:p w:rsidR="003B65DF" w:rsidRDefault="003B65DF" w:rsidP="004810CD">
      <w:pPr>
        <w:spacing w:line="480" w:lineRule="auto"/>
        <w:jc w:val="center"/>
        <w:rPr>
          <w:rFonts w:ascii="Times New Roman" w:hAnsi="Times New Roman" w:cs="Times New Roman"/>
          <w:sz w:val="24"/>
          <w:szCs w:val="24"/>
        </w:rPr>
      </w:pPr>
    </w:p>
    <w:p w:rsidR="003B65DF" w:rsidRDefault="003B65DF" w:rsidP="004810CD">
      <w:pPr>
        <w:spacing w:line="480" w:lineRule="auto"/>
        <w:jc w:val="center"/>
        <w:rPr>
          <w:rFonts w:ascii="Times New Roman" w:hAnsi="Times New Roman" w:cs="Times New Roman"/>
          <w:sz w:val="24"/>
          <w:szCs w:val="24"/>
        </w:rPr>
      </w:pPr>
    </w:p>
    <w:p w:rsidR="003B65DF" w:rsidRDefault="003B65DF" w:rsidP="004810CD">
      <w:pPr>
        <w:spacing w:line="480" w:lineRule="auto"/>
        <w:jc w:val="center"/>
        <w:rPr>
          <w:rFonts w:ascii="Times New Roman" w:hAnsi="Times New Roman" w:cs="Times New Roman"/>
          <w:sz w:val="24"/>
          <w:szCs w:val="24"/>
        </w:rPr>
      </w:pPr>
    </w:p>
    <w:p w:rsidR="003B65DF" w:rsidRDefault="003B65DF" w:rsidP="004810CD">
      <w:pPr>
        <w:spacing w:line="480" w:lineRule="auto"/>
        <w:jc w:val="center"/>
        <w:rPr>
          <w:rFonts w:ascii="Times New Roman" w:hAnsi="Times New Roman" w:cs="Times New Roman"/>
          <w:sz w:val="24"/>
          <w:szCs w:val="24"/>
        </w:rPr>
      </w:pPr>
    </w:p>
    <w:p w:rsidR="004810CD" w:rsidRDefault="004810CD" w:rsidP="004810C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69777F" w:rsidRDefault="0069777F" w:rsidP="004810CD">
      <w:pPr>
        <w:spacing w:line="480" w:lineRule="auto"/>
        <w:ind w:left="720" w:hanging="720"/>
        <w:rPr>
          <w:rFonts w:ascii="Times New Roman" w:hAnsi="Times New Roman" w:cs="Times New Roman"/>
          <w:sz w:val="24"/>
          <w:szCs w:val="24"/>
          <w:shd w:val="clear" w:color="auto" w:fill="FFFFFF"/>
        </w:rPr>
      </w:pPr>
      <w:r>
        <w:rPr>
          <w:rStyle w:val="byline"/>
          <w:rFonts w:ascii="Times New Roman" w:hAnsi="Times New Roman" w:cs="Times New Roman"/>
          <w:sz w:val="24"/>
          <w:szCs w:val="24"/>
          <w:bdr w:val="none" w:sz="0" w:space="0" w:color="auto" w:frame="1"/>
        </w:rPr>
        <w:t>Agbonile</w:t>
      </w:r>
      <w:r>
        <w:rPr>
          <w:rFonts w:ascii="Times New Roman" w:hAnsi="Times New Roman" w:cs="Times New Roman"/>
          <w:sz w:val="24"/>
          <w:szCs w:val="24"/>
          <w:shd w:val="clear" w:color="auto" w:fill="FFFFFF"/>
        </w:rPr>
        <w:t xml:space="preserve">, A. (2019).  Stanford’s Finance Explained. Stanford Daily. Web Accessed on 12 September 2019. </w:t>
      </w:r>
    </w:p>
    <w:p w:rsidR="0069777F" w:rsidRDefault="0069777F" w:rsidP="003A5A60">
      <w:pPr>
        <w:spacing w:line="480" w:lineRule="auto"/>
        <w:ind w:left="720" w:hanging="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Fathi, M., &amp; Wilson, L. (2015).Strategic Planning in Colleges and Universities. </w:t>
      </w:r>
      <w:r>
        <w:rPr>
          <w:rFonts w:ascii="Times New Roman" w:hAnsi="Times New Roman" w:cs="Times New Roman"/>
          <w:i/>
          <w:iCs/>
          <w:sz w:val="24"/>
          <w:szCs w:val="24"/>
          <w:shd w:val="clear" w:color="auto" w:fill="FFFFFF"/>
        </w:rPr>
        <w:t>Business Renaissance Quarterly</w:t>
      </w:r>
      <w:r>
        <w:rPr>
          <w:rFonts w:ascii="Times New Roman" w:hAnsi="Times New Roman" w:cs="Times New Roman"/>
          <w:sz w:val="24"/>
          <w:szCs w:val="24"/>
          <w:shd w:val="clear" w:color="auto" w:fill="FFFFFF"/>
        </w:rPr>
        <w:t>, </w:t>
      </w:r>
      <w:r>
        <w:rPr>
          <w:rFonts w:ascii="Times New Roman" w:hAnsi="Times New Roman" w:cs="Times New Roman"/>
          <w:i/>
          <w:iCs/>
          <w:sz w:val="24"/>
          <w:szCs w:val="24"/>
          <w:shd w:val="clear" w:color="auto" w:fill="FFFFFF"/>
        </w:rPr>
        <w:t>4</w:t>
      </w:r>
      <w:r>
        <w:rPr>
          <w:rFonts w:ascii="Times New Roman" w:hAnsi="Times New Roman" w:cs="Times New Roman"/>
          <w:sz w:val="24"/>
          <w:szCs w:val="24"/>
          <w:shd w:val="clear" w:color="auto" w:fill="FFFFFF"/>
        </w:rPr>
        <w:t>(1).</w:t>
      </w:r>
    </w:p>
    <w:p w:rsidR="003B65DF" w:rsidRPr="003B65DF" w:rsidRDefault="003B65DF" w:rsidP="003B65DF">
      <w:pPr>
        <w:spacing w:after="0" w:line="240" w:lineRule="auto"/>
        <w:rPr>
          <w:rFonts w:ascii="Times New Roman" w:eastAsia="Times New Roman" w:hAnsi="Times New Roman" w:cs="Times New Roman"/>
          <w:sz w:val="24"/>
          <w:szCs w:val="24"/>
        </w:rPr>
      </w:pPr>
      <w:r w:rsidRPr="003B65DF">
        <w:rPr>
          <w:rFonts w:ascii="Times New Roman" w:eastAsia="Times New Roman" w:hAnsi="Times New Roman" w:cs="Times New Roman"/>
          <w:sz w:val="24"/>
          <w:szCs w:val="24"/>
        </w:rPr>
        <w:t xml:space="preserve">Lombardi, V. (2013). </w:t>
      </w:r>
      <w:r w:rsidRPr="003B65DF">
        <w:rPr>
          <w:rFonts w:ascii="Times New Roman" w:eastAsia="Times New Roman" w:hAnsi="Times New Roman" w:cs="Times New Roman"/>
          <w:i/>
          <w:iCs/>
          <w:sz w:val="24"/>
          <w:szCs w:val="24"/>
        </w:rPr>
        <w:t>How Universities Work.</w:t>
      </w:r>
      <w:r w:rsidRPr="003B65DF">
        <w:rPr>
          <w:rFonts w:ascii="Times New Roman" w:eastAsia="Times New Roman" w:hAnsi="Times New Roman" w:cs="Times New Roman"/>
          <w:sz w:val="24"/>
          <w:szCs w:val="24"/>
        </w:rPr>
        <w:t xml:space="preserve"> Baltimore: Johns Hopkins University Press.</w:t>
      </w:r>
    </w:p>
    <w:p w:rsidR="003B65DF" w:rsidRDefault="003B65DF" w:rsidP="003A5A60">
      <w:pPr>
        <w:spacing w:line="480" w:lineRule="auto"/>
        <w:ind w:left="720" w:hanging="720"/>
        <w:rPr>
          <w:rFonts w:ascii="Times New Roman" w:hAnsi="Times New Roman" w:cs="Times New Roman"/>
          <w:sz w:val="24"/>
          <w:szCs w:val="24"/>
        </w:rPr>
      </w:pPr>
    </w:p>
    <w:p w:rsidR="0069777F" w:rsidRDefault="0069777F" w:rsidP="004810CD">
      <w:pPr>
        <w:spacing w:line="480" w:lineRule="auto"/>
        <w:ind w:left="720" w:hanging="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Marginson, S. (2015). The public/private divide in higher education: A global revision. </w:t>
      </w:r>
      <w:r>
        <w:rPr>
          <w:rFonts w:ascii="Times New Roman" w:hAnsi="Times New Roman" w:cs="Times New Roman"/>
          <w:i/>
          <w:iCs/>
          <w:sz w:val="24"/>
          <w:szCs w:val="24"/>
          <w:shd w:val="clear" w:color="auto" w:fill="FFFFFF"/>
        </w:rPr>
        <w:t>Higher Education</w:t>
      </w:r>
      <w:r>
        <w:rPr>
          <w:rFonts w:ascii="Times New Roman" w:hAnsi="Times New Roman" w:cs="Times New Roman"/>
          <w:sz w:val="24"/>
          <w:szCs w:val="24"/>
          <w:shd w:val="clear" w:color="auto" w:fill="FFFFFF"/>
        </w:rPr>
        <w:t>, </w:t>
      </w:r>
      <w:r>
        <w:rPr>
          <w:rFonts w:ascii="Times New Roman" w:hAnsi="Times New Roman" w:cs="Times New Roman"/>
          <w:i/>
          <w:iCs/>
          <w:sz w:val="24"/>
          <w:szCs w:val="24"/>
          <w:shd w:val="clear" w:color="auto" w:fill="FFFFFF"/>
        </w:rPr>
        <w:t>53</w:t>
      </w:r>
      <w:r>
        <w:rPr>
          <w:rFonts w:ascii="Times New Roman" w:hAnsi="Times New Roman" w:cs="Times New Roman"/>
          <w:sz w:val="24"/>
          <w:szCs w:val="24"/>
          <w:shd w:val="clear" w:color="auto" w:fill="FFFFFF"/>
        </w:rPr>
        <w:t>(3), 307-333.</w:t>
      </w:r>
    </w:p>
    <w:p w:rsidR="0069777F" w:rsidRDefault="0069777F" w:rsidP="004810CD">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NAICU. (2017). Key Facts: Private, Nonprofit Higher Education – January 2017</w:t>
      </w:r>
    </w:p>
    <w:p w:rsidR="0069777F" w:rsidRDefault="0069777F" w:rsidP="004810CD">
      <w:pPr>
        <w:spacing w:line="480" w:lineRule="auto"/>
        <w:ind w:left="720" w:hanging="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Pink, G. H., Daniel, I., Hall, L. M., &amp; McKillop, I. (2015). Selection of key financial indicators: a literature, panel and survey approach. </w:t>
      </w:r>
      <w:r>
        <w:rPr>
          <w:rFonts w:ascii="Times New Roman" w:hAnsi="Times New Roman" w:cs="Times New Roman"/>
          <w:i/>
          <w:iCs/>
          <w:sz w:val="24"/>
          <w:szCs w:val="24"/>
          <w:shd w:val="clear" w:color="auto" w:fill="FFFFFF"/>
        </w:rPr>
        <w:t>Healthcare quarterly (Toronto, Ont.)</w:t>
      </w:r>
      <w:r>
        <w:rPr>
          <w:rFonts w:ascii="Times New Roman" w:hAnsi="Times New Roman" w:cs="Times New Roman"/>
          <w:sz w:val="24"/>
          <w:szCs w:val="24"/>
          <w:shd w:val="clear" w:color="auto" w:fill="FFFFFF"/>
        </w:rPr>
        <w:t>, </w:t>
      </w:r>
      <w:r>
        <w:rPr>
          <w:rFonts w:ascii="Times New Roman" w:hAnsi="Times New Roman" w:cs="Times New Roman"/>
          <w:i/>
          <w:iCs/>
          <w:sz w:val="24"/>
          <w:szCs w:val="24"/>
          <w:shd w:val="clear" w:color="auto" w:fill="FFFFFF"/>
        </w:rPr>
        <w:t>10</w:t>
      </w:r>
      <w:r>
        <w:rPr>
          <w:rFonts w:ascii="Times New Roman" w:hAnsi="Times New Roman" w:cs="Times New Roman"/>
          <w:sz w:val="24"/>
          <w:szCs w:val="24"/>
          <w:shd w:val="clear" w:color="auto" w:fill="FFFFFF"/>
        </w:rPr>
        <w:t>(1), 87-96.</w:t>
      </w:r>
    </w:p>
    <w:p w:rsidR="0069777F" w:rsidRPr="003A5A60" w:rsidRDefault="0069777F" w:rsidP="003A5A60">
      <w:pPr>
        <w:spacing w:line="480" w:lineRule="auto"/>
        <w:ind w:left="720" w:hanging="720"/>
        <w:rPr>
          <w:rFonts w:ascii="Times New Roman" w:hAnsi="Times New Roman" w:cs="Times New Roman"/>
          <w:sz w:val="24"/>
          <w:szCs w:val="24"/>
        </w:rPr>
      </w:pPr>
      <w:r w:rsidRPr="003A5A60">
        <w:rPr>
          <w:rFonts w:ascii="Times New Roman" w:hAnsi="Times New Roman" w:cs="Times New Roman"/>
          <w:color w:val="222222"/>
          <w:sz w:val="24"/>
          <w:szCs w:val="24"/>
          <w:shd w:val="clear" w:color="auto" w:fill="FFFFFF"/>
        </w:rPr>
        <w:t>Siehl, C., &amp; Martin, J. (</w:t>
      </w:r>
      <w:r>
        <w:rPr>
          <w:rFonts w:ascii="Times New Roman" w:hAnsi="Times New Roman" w:cs="Times New Roman"/>
          <w:color w:val="222222"/>
          <w:sz w:val="24"/>
          <w:szCs w:val="24"/>
          <w:shd w:val="clear" w:color="auto" w:fill="FFFFFF"/>
        </w:rPr>
        <w:t>2015</w:t>
      </w:r>
      <w:r w:rsidRPr="003A5A60">
        <w:rPr>
          <w:rFonts w:ascii="Times New Roman" w:hAnsi="Times New Roman" w:cs="Times New Roman"/>
          <w:color w:val="222222"/>
          <w:sz w:val="24"/>
          <w:szCs w:val="24"/>
          <w:shd w:val="clear" w:color="auto" w:fill="FFFFFF"/>
        </w:rPr>
        <w:t>). </w:t>
      </w:r>
      <w:r w:rsidRPr="003A5A60">
        <w:rPr>
          <w:rFonts w:ascii="Times New Roman" w:hAnsi="Times New Roman" w:cs="Times New Roman"/>
          <w:i/>
          <w:iCs/>
          <w:color w:val="222222"/>
          <w:sz w:val="24"/>
          <w:szCs w:val="24"/>
          <w:shd w:val="clear" w:color="auto" w:fill="FFFFFF"/>
        </w:rPr>
        <w:t>Organizational culture: A key to financial performance?</w:t>
      </w:r>
      <w:r w:rsidRPr="003A5A60">
        <w:rPr>
          <w:rFonts w:ascii="Times New Roman" w:hAnsi="Times New Roman" w:cs="Times New Roman"/>
          <w:color w:val="222222"/>
          <w:sz w:val="24"/>
          <w:szCs w:val="24"/>
          <w:shd w:val="clear" w:color="auto" w:fill="FFFFFF"/>
        </w:rPr>
        <w:t>.Graduate School of Business, Stanford University.</w:t>
      </w:r>
    </w:p>
    <w:p w:rsidR="0069777F" w:rsidRDefault="0069777F" w:rsidP="004810CD">
      <w:pPr>
        <w:spacing w:line="480" w:lineRule="auto"/>
        <w:ind w:left="720" w:hanging="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Southern Association of Colleges and Schools.Commission on Colleges (SACSCOC). (2012). </w:t>
      </w:r>
      <w:r>
        <w:rPr>
          <w:rFonts w:ascii="Times New Roman" w:hAnsi="Times New Roman" w:cs="Times New Roman"/>
          <w:i/>
          <w:iCs/>
          <w:sz w:val="24"/>
          <w:szCs w:val="24"/>
          <w:shd w:val="clear" w:color="auto" w:fill="FFFFFF"/>
        </w:rPr>
        <w:t>The principles of accreditation: Foundations for quality enhancement</w:t>
      </w:r>
      <w:r>
        <w:rPr>
          <w:rFonts w:ascii="Times New Roman" w:hAnsi="Times New Roman" w:cs="Times New Roman"/>
          <w:sz w:val="24"/>
          <w:szCs w:val="24"/>
          <w:shd w:val="clear" w:color="auto" w:fill="FFFFFF"/>
        </w:rPr>
        <w:t>. Commission on Colleges, Southern Association of Colleges and Schools.</w:t>
      </w:r>
    </w:p>
    <w:p w:rsidR="0069777F" w:rsidRDefault="0069777F" w:rsidP="004810CD">
      <w:pPr>
        <w:spacing w:line="480" w:lineRule="auto"/>
        <w:ind w:left="720" w:hanging="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University of Michigan (2019). University of Michigan Finances: A Snapshot. Web Accessed on 12 September 2019. </w:t>
      </w:r>
    </w:p>
    <w:p w:rsidR="0069777F" w:rsidRDefault="0069777F" w:rsidP="004810CD">
      <w:pPr>
        <w:spacing w:line="480" w:lineRule="auto"/>
        <w:ind w:left="720" w:hanging="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Velimirović, D., Velimirović, M., &amp;Stanković, R. (2016).Role and importance of key performance indicators measurement. </w:t>
      </w:r>
      <w:r>
        <w:rPr>
          <w:rFonts w:ascii="Times New Roman" w:hAnsi="Times New Roman" w:cs="Times New Roman"/>
          <w:i/>
          <w:iCs/>
          <w:sz w:val="24"/>
          <w:szCs w:val="24"/>
          <w:shd w:val="clear" w:color="auto" w:fill="FFFFFF"/>
        </w:rPr>
        <w:t>Serbian Journal of Management</w:t>
      </w:r>
      <w:r>
        <w:rPr>
          <w:rFonts w:ascii="Times New Roman" w:hAnsi="Times New Roman" w:cs="Times New Roman"/>
          <w:sz w:val="24"/>
          <w:szCs w:val="24"/>
          <w:shd w:val="clear" w:color="auto" w:fill="FFFFFF"/>
        </w:rPr>
        <w:t>, </w:t>
      </w:r>
      <w:r>
        <w:rPr>
          <w:rFonts w:ascii="Times New Roman" w:hAnsi="Times New Roman" w:cs="Times New Roman"/>
          <w:i/>
          <w:iCs/>
          <w:sz w:val="24"/>
          <w:szCs w:val="24"/>
          <w:shd w:val="clear" w:color="auto" w:fill="FFFFFF"/>
        </w:rPr>
        <w:t>6</w:t>
      </w:r>
      <w:r>
        <w:rPr>
          <w:rFonts w:ascii="Times New Roman" w:hAnsi="Times New Roman" w:cs="Times New Roman"/>
          <w:sz w:val="24"/>
          <w:szCs w:val="24"/>
          <w:shd w:val="clear" w:color="auto" w:fill="FFFFFF"/>
        </w:rPr>
        <w:t>(1), 63-72.</w:t>
      </w:r>
    </w:p>
    <w:sectPr w:rsidR="0069777F" w:rsidSect="00E0101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E0AD9" w:rsidRDefault="001E0AD9">
      <w:pPr>
        <w:spacing w:after="0" w:line="240" w:lineRule="auto"/>
      </w:pPr>
      <w:r>
        <w:separator/>
      </w:r>
    </w:p>
  </w:endnote>
  <w:endnote w:type="continuationSeparator" w:id="1">
    <w:p w:rsidR="001E0AD9" w:rsidRDefault="001E0AD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E0AD9" w:rsidRDefault="001E0AD9">
      <w:pPr>
        <w:spacing w:after="0" w:line="240" w:lineRule="auto"/>
      </w:pPr>
      <w:r>
        <w:separator/>
      </w:r>
    </w:p>
  </w:footnote>
  <w:footnote w:type="continuationSeparator" w:id="1">
    <w:p w:rsidR="001E0AD9" w:rsidRDefault="001E0AD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08052642"/>
      <w:docPartObj>
        <w:docPartGallery w:val="Page Numbers (Top of Page)"/>
        <w:docPartUnique/>
      </w:docPartObj>
    </w:sdtPr>
    <w:sdtEndPr>
      <w:rPr>
        <w:rFonts w:ascii="Times New Roman" w:hAnsi="Times New Roman" w:cs="Times New Roman"/>
        <w:noProof/>
        <w:sz w:val="24"/>
        <w:szCs w:val="24"/>
      </w:rPr>
    </w:sdtEndPr>
    <w:sdtContent>
      <w:p w:rsidR="00E01015" w:rsidRPr="00E01015" w:rsidRDefault="00C456D2" w:rsidP="00A574B0">
        <w:pPr>
          <w:spacing w:line="480" w:lineRule="auto"/>
          <w:rPr>
            <w:rFonts w:ascii="Times New Roman" w:hAnsi="Times New Roman" w:cs="Times New Roman"/>
            <w:sz w:val="24"/>
            <w:szCs w:val="24"/>
          </w:rPr>
        </w:pPr>
        <w:r w:rsidRPr="00C456D2">
          <w:rPr>
            <w:rFonts w:ascii="Times New Roman" w:hAnsi="Times New Roman" w:cs="Times New Roman"/>
            <w:sz w:val="24"/>
            <w:szCs w:val="24"/>
          </w:rPr>
          <w:t>HIGHER EDUCATION</w:t>
        </w:r>
        <w:r w:rsidR="00BD7E89" w:rsidRPr="00B66301">
          <w:rPr>
            <w:rFonts w:ascii="Times New Roman" w:hAnsi="Times New Roman" w:cs="Times New Roman"/>
            <w:sz w:val="24"/>
            <w:szCs w:val="24"/>
          </w:rPr>
          <w:t>INSTITUTIONS</w:t>
        </w:r>
        <w:r w:rsidR="00A574B0">
          <w:rPr>
            <w:rFonts w:ascii="Times New Roman" w:hAnsi="Times New Roman" w:cs="Times New Roman"/>
            <w:sz w:val="24"/>
            <w:szCs w:val="24"/>
          </w:rPr>
          <w:tab/>
        </w:r>
        <w:r w:rsidR="00FA2C0B">
          <w:rPr>
            <w:rFonts w:ascii="Times New Roman" w:hAnsi="Times New Roman" w:cs="Times New Roman"/>
            <w:sz w:val="24"/>
            <w:szCs w:val="24"/>
          </w:rPr>
          <w:tab/>
        </w:r>
        <w:r w:rsidR="00FA2C0B">
          <w:rPr>
            <w:rFonts w:ascii="Times New Roman" w:hAnsi="Times New Roman" w:cs="Times New Roman"/>
            <w:sz w:val="24"/>
            <w:szCs w:val="24"/>
          </w:rPr>
          <w:tab/>
        </w:r>
        <w:r w:rsidR="00FA2C0B">
          <w:rPr>
            <w:rFonts w:ascii="Times New Roman" w:hAnsi="Times New Roman" w:cs="Times New Roman"/>
            <w:sz w:val="24"/>
            <w:szCs w:val="24"/>
          </w:rPr>
          <w:tab/>
        </w:r>
        <w:r w:rsidR="00FA2C0B">
          <w:rPr>
            <w:rFonts w:ascii="Times New Roman" w:hAnsi="Times New Roman" w:cs="Times New Roman"/>
            <w:sz w:val="24"/>
            <w:szCs w:val="24"/>
          </w:rPr>
          <w:tab/>
        </w:r>
        <w:r w:rsidR="00FA2C0B">
          <w:rPr>
            <w:rFonts w:ascii="Times New Roman" w:hAnsi="Times New Roman" w:cs="Times New Roman"/>
            <w:sz w:val="24"/>
            <w:szCs w:val="24"/>
          </w:rPr>
          <w:tab/>
        </w:r>
        <w:r w:rsidR="00D86343">
          <w:rPr>
            <w:rFonts w:ascii="Times New Roman" w:hAnsi="Times New Roman" w:cs="Times New Roman"/>
            <w:sz w:val="24"/>
            <w:szCs w:val="24"/>
          </w:rPr>
          <w:tab/>
        </w:r>
        <w:r w:rsidR="002A1281" w:rsidRPr="00E01015">
          <w:rPr>
            <w:rFonts w:ascii="Times New Roman" w:hAnsi="Times New Roman" w:cs="Times New Roman"/>
            <w:sz w:val="24"/>
            <w:szCs w:val="24"/>
          </w:rPr>
          <w:fldChar w:fldCharType="begin"/>
        </w:r>
        <w:r w:rsidR="00D86343" w:rsidRPr="00E01015">
          <w:rPr>
            <w:rFonts w:ascii="Times New Roman" w:hAnsi="Times New Roman" w:cs="Times New Roman"/>
            <w:sz w:val="24"/>
            <w:szCs w:val="24"/>
          </w:rPr>
          <w:instrText xml:space="preserve"> PAGE   \* MERGEFORMAT </w:instrText>
        </w:r>
        <w:r w:rsidR="002A1281" w:rsidRPr="00E01015">
          <w:rPr>
            <w:rFonts w:ascii="Times New Roman" w:hAnsi="Times New Roman" w:cs="Times New Roman"/>
            <w:sz w:val="24"/>
            <w:szCs w:val="24"/>
          </w:rPr>
          <w:fldChar w:fldCharType="separate"/>
        </w:r>
        <w:r w:rsidR="003B65DF">
          <w:rPr>
            <w:rFonts w:ascii="Times New Roman" w:hAnsi="Times New Roman" w:cs="Times New Roman"/>
            <w:noProof/>
            <w:sz w:val="24"/>
            <w:szCs w:val="24"/>
          </w:rPr>
          <w:t>6</w:t>
        </w:r>
        <w:r w:rsidR="002A1281" w:rsidRPr="00E01015">
          <w:rPr>
            <w:rFonts w:ascii="Times New Roman" w:hAnsi="Times New Roman" w:cs="Times New Roman"/>
            <w:noProof/>
            <w:sz w:val="24"/>
            <w:szCs w:val="24"/>
          </w:rPr>
          <w:fldChar w:fldCharType="end"/>
        </w:r>
      </w:p>
    </w:sdtContent>
  </w:sdt>
  <w:p w:rsidR="00E01015" w:rsidRDefault="00E0101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015" w:rsidRPr="00E01015" w:rsidRDefault="00D86343" w:rsidP="00E34291">
    <w:pPr>
      <w:spacing w:line="480" w:lineRule="auto"/>
      <w:rPr>
        <w:rFonts w:ascii="Times New Roman" w:hAnsi="Times New Roman" w:cs="Times New Roman"/>
        <w:sz w:val="24"/>
        <w:szCs w:val="24"/>
      </w:rPr>
    </w:pPr>
    <w:r w:rsidRPr="00E01015">
      <w:rPr>
        <w:rFonts w:ascii="Times New Roman" w:hAnsi="Times New Roman" w:cs="Times New Roman"/>
        <w:sz w:val="24"/>
        <w:szCs w:val="24"/>
      </w:rPr>
      <w:t xml:space="preserve">Running head: </w:t>
    </w:r>
    <w:r w:rsidR="00C456D2" w:rsidRPr="00C456D2">
      <w:rPr>
        <w:rFonts w:ascii="Times New Roman" w:hAnsi="Times New Roman" w:cs="Times New Roman"/>
        <w:sz w:val="24"/>
        <w:szCs w:val="24"/>
      </w:rPr>
      <w:t>HIGHER EDUCATION</w:t>
    </w:r>
    <w:r w:rsidR="00BD7E89" w:rsidRPr="00B66301">
      <w:rPr>
        <w:rFonts w:ascii="Times New Roman" w:hAnsi="Times New Roman" w:cs="Times New Roman"/>
        <w:sz w:val="24"/>
        <w:szCs w:val="24"/>
      </w:rPr>
      <w:t>INSTITUTIONS</w:t>
    </w:r>
    <w:r w:rsidR="00BD7E89">
      <w:rPr>
        <w:rFonts w:ascii="Times New Roman" w:hAnsi="Times New Roman" w:cs="Times New Roman"/>
        <w:sz w:val="24"/>
        <w:szCs w:val="24"/>
      </w:rPr>
      <w:tab/>
    </w:r>
    <w:r w:rsidR="00FA2C0B">
      <w:rPr>
        <w:rFonts w:ascii="Times New Roman" w:hAnsi="Times New Roman" w:cs="Times New Roman"/>
        <w:sz w:val="24"/>
        <w:szCs w:val="24"/>
      </w:rPr>
      <w:tab/>
    </w:r>
    <w:r w:rsidR="00FA2C0B">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01015">
      <w:rPr>
        <w:rFonts w:ascii="Times New Roman" w:hAnsi="Times New Roman" w:cs="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DB03DB"/>
    <w:multiLevelType w:val="hybridMultilevel"/>
    <w:tmpl w:val="F7A04D5A"/>
    <w:lvl w:ilvl="0" w:tplc="13724566">
      <w:start w:val="1"/>
      <w:numFmt w:val="decimal"/>
      <w:lvlText w:val="%1."/>
      <w:lvlJc w:val="left"/>
      <w:pPr>
        <w:ind w:left="720" w:hanging="360"/>
      </w:pPr>
    </w:lvl>
    <w:lvl w:ilvl="1" w:tplc="C4AA4994">
      <w:start w:val="1"/>
      <w:numFmt w:val="lowerLetter"/>
      <w:lvlText w:val="%2."/>
      <w:lvlJc w:val="left"/>
      <w:pPr>
        <w:ind w:left="1440" w:hanging="360"/>
      </w:pPr>
    </w:lvl>
    <w:lvl w:ilvl="2" w:tplc="1B829E36">
      <w:start w:val="1"/>
      <w:numFmt w:val="lowerRoman"/>
      <w:lvlText w:val="%3."/>
      <w:lvlJc w:val="right"/>
      <w:pPr>
        <w:ind w:left="2160" w:hanging="180"/>
      </w:pPr>
    </w:lvl>
    <w:lvl w:ilvl="3" w:tplc="29C61F42">
      <w:start w:val="1"/>
      <w:numFmt w:val="decimal"/>
      <w:lvlText w:val="%4."/>
      <w:lvlJc w:val="left"/>
      <w:pPr>
        <w:ind w:left="2880" w:hanging="360"/>
      </w:pPr>
    </w:lvl>
    <w:lvl w:ilvl="4" w:tplc="78EA3AE6">
      <w:start w:val="1"/>
      <w:numFmt w:val="lowerLetter"/>
      <w:lvlText w:val="%5."/>
      <w:lvlJc w:val="left"/>
      <w:pPr>
        <w:ind w:left="3600" w:hanging="360"/>
      </w:pPr>
    </w:lvl>
    <w:lvl w:ilvl="5" w:tplc="FF12DF6E">
      <w:start w:val="1"/>
      <w:numFmt w:val="lowerRoman"/>
      <w:lvlText w:val="%6."/>
      <w:lvlJc w:val="right"/>
      <w:pPr>
        <w:ind w:left="4320" w:hanging="180"/>
      </w:pPr>
    </w:lvl>
    <w:lvl w:ilvl="6" w:tplc="2DCEB87E">
      <w:start w:val="1"/>
      <w:numFmt w:val="decimal"/>
      <w:lvlText w:val="%7."/>
      <w:lvlJc w:val="left"/>
      <w:pPr>
        <w:ind w:left="5040" w:hanging="360"/>
      </w:pPr>
    </w:lvl>
    <w:lvl w:ilvl="7" w:tplc="4A46B4AC">
      <w:start w:val="1"/>
      <w:numFmt w:val="lowerLetter"/>
      <w:lvlText w:val="%8."/>
      <w:lvlJc w:val="left"/>
      <w:pPr>
        <w:ind w:left="5760" w:hanging="360"/>
      </w:pPr>
    </w:lvl>
    <w:lvl w:ilvl="8" w:tplc="B0CAA458">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E01015"/>
    <w:rsid w:val="00011FEE"/>
    <w:rsid w:val="0001519F"/>
    <w:rsid w:val="000170CF"/>
    <w:rsid w:val="00031605"/>
    <w:rsid w:val="00035AAD"/>
    <w:rsid w:val="00056022"/>
    <w:rsid w:val="00060308"/>
    <w:rsid w:val="00070D0A"/>
    <w:rsid w:val="000720D4"/>
    <w:rsid w:val="000758C0"/>
    <w:rsid w:val="00076CFC"/>
    <w:rsid w:val="0008767A"/>
    <w:rsid w:val="00090B61"/>
    <w:rsid w:val="00091234"/>
    <w:rsid w:val="0009150A"/>
    <w:rsid w:val="000964C4"/>
    <w:rsid w:val="000A3853"/>
    <w:rsid w:val="000C3B23"/>
    <w:rsid w:val="000C4FB9"/>
    <w:rsid w:val="000D0BEA"/>
    <w:rsid w:val="000D7925"/>
    <w:rsid w:val="000F1C0E"/>
    <w:rsid w:val="000F5452"/>
    <w:rsid w:val="00102C8D"/>
    <w:rsid w:val="00104DD5"/>
    <w:rsid w:val="00112A58"/>
    <w:rsid w:val="001140D4"/>
    <w:rsid w:val="00115D7C"/>
    <w:rsid w:val="00117329"/>
    <w:rsid w:val="00117695"/>
    <w:rsid w:val="0013172E"/>
    <w:rsid w:val="001345AF"/>
    <w:rsid w:val="00136D65"/>
    <w:rsid w:val="0017516E"/>
    <w:rsid w:val="001752F9"/>
    <w:rsid w:val="00180701"/>
    <w:rsid w:val="001832D9"/>
    <w:rsid w:val="001A73CF"/>
    <w:rsid w:val="001A7E39"/>
    <w:rsid w:val="001B49D2"/>
    <w:rsid w:val="001C2D9F"/>
    <w:rsid w:val="001C5853"/>
    <w:rsid w:val="001D0EC8"/>
    <w:rsid w:val="001E0659"/>
    <w:rsid w:val="001E0AD9"/>
    <w:rsid w:val="001E7F21"/>
    <w:rsid w:val="001E7F66"/>
    <w:rsid w:val="001F57CF"/>
    <w:rsid w:val="00202D2E"/>
    <w:rsid w:val="00205FE0"/>
    <w:rsid w:val="00210055"/>
    <w:rsid w:val="00216D97"/>
    <w:rsid w:val="00220578"/>
    <w:rsid w:val="002205A6"/>
    <w:rsid w:val="00221365"/>
    <w:rsid w:val="002336DE"/>
    <w:rsid w:val="00262D34"/>
    <w:rsid w:val="00270214"/>
    <w:rsid w:val="00273A38"/>
    <w:rsid w:val="0027606D"/>
    <w:rsid w:val="002A1281"/>
    <w:rsid w:val="002A1715"/>
    <w:rsid w:val="002A3319"/>
    <w:rsid w:val="002D1A62"/>
    <w:rsid w:val="002D269B"/>
    <w:rsid w:val="002D7078"/>
    <w:rsid w:val="002E2FEE"/>
    <w:rsid w:val="002E604C"/>
    <w:rsid w:val="002E7251"/>
    <w:rsid w:val="002F0B01"/>
    <w:rsid w:val="002F283D"/>
    <w:rsid w:val="002F5718"/>
    <w:rsid w:val="0030539F"/>
    <w:rsid w:val="00311E7C"/>
    <w:rsid w:val="003130A2"/>
    <w:rsid w:val="003156A1"/>
    <w:rsid w:val="0031688B"/>
    <w:rsid w:val="00320AF8"/>
    <w:rsid w:val="00323303"/>
    <w:rsid w:val="00334E33"/>
    <w:rsid w:val="00342447"/>
    <w:rsid w:val="003441A9"/>
    <w:rsid w:val="00357021"/>
    <w:rsid w:val="00360FFB"/>
    <w:rsid w:val="00362663"/>
    <w:rsid w:val="00363CFF"/>
    <w:rsid w:val="003674AC"/>
    <w:rsid w:val="00372F9C"/>
    <w:rsid w:val="00373C6A"/>
    <w:rsid w:val="00374BDA"/>
    <w:rsid w:val="00383E10"/>
    <w:rsid w:val="0039337F"/>
    <w:rsid w:val="0039455A"/>
    <w:rsid w:val="003957A7"/>
    <w:rsid w:val="003A0AB8"/>
    <w:rsid w:val="003A3F68"/>
    <w:rsid w:val="003A5A60"/>
    <w:rsid w:val="003B65DF"/>
    <w:rsid w:val="003C4965"/>
    <w:rsid w:val="003D11C0"/>
    <w:rsid w:val="003D2460"/>
    <w:rsid w:val="003D63F4"/>
    <w:rsid w:val="003D7785"/>
    <w:rsid w:val="003E41AE"/>
    <w:rsid w:val="003E6690"/>
    <w:rsid w:val="00407016"/>
    <w:rsid w:val="00436520"/>
    <w:rsid w:val="0044422C"/>
    <w:rsid w:val="00452A3C"/>
    <w:rsid w:val="00452E0B"/>
    <w:rsid w:val="00461CCD"/>
    <w:rsid w:val="00464F68"/>
    <w:rsid w:val="00465E17"/>
    <w:rsid w:val="00466493"/>
    <w:rsid w:val="004703C8"/>
    <w:rsid w:val="00474C6F"/>
    <w:rsid w:val="004808E1"/>
    <w:rsid w:val="004810CD"/>
    <w:rsid w:val="004920C7"/>
    <w:rsid w:val="0049602D"/>
    <w:rsid w:val="004B4DF6"/>
    <w:rsid w:val="004D3DF0"/>
    <w:rsid w:val="004D7373"/>
    <w:rsid w:val="004E00F3"/>
    <w:rsid w:val="004E486F"/>
    <w:rsid w:val="004F0B50"/>
    <w:rsid w:val="004F4571"/>
    <w:rsid w:val="00500ECA"/>
    <w:rsid w:val="00501074"/>
    <w:rsid w:val="00501403"/>
    <w:rsid w:val="005105FC"/>
    <w:rsid w:val="0052037D"/>
    <w:rsid w:val="00524D71"/>
    <w:rsid w:val="00532BCF"/>
    <w:rsid w:val="00536C83"/>
    <w:rsid w:val="00545DBE"/>
    <w:rsid w:val="00551846"/>
    <w:rsid w:val="00555103"/>
    <w:rsid w:val="00557455"/>
    <w:rsid w:val="00571B47"/>
    <w:rsid w:val="005756E2"/>
    <w:rsid w:val="00577784"/>
    <w:rsid w:val="0058170C"/>
    <w:rsid w:val="00592CA7"/>
    <w:rsid w:val="005A485A"/>
    <w:rsid w:val="005B21D6"/>
    <w:rsid w:val="005C6003"/>
    <w:rsid w:val="005D021E"/>
    <w:rsid w:val="005E09CD"/>
    <w:rsid w:val="005F6C9B"/>
    <w:rsid w:val="00600D47"/>
    <w:rsid w:val="00601142"/>
    <w:rsid w:val="00622876"/>
    <w:rsid w:val="00633B8A"/>
    <w:rsid w:val="0064244B"/>
    <w:rsid w:val="00643823"/>
    <w:rsid w:val="006472CF"/>
    <w:rsid w:val="00683171"/>
    <w:rsid w:val="00683ED1"/>
    <w:rsid w:val="00691146"/>
    <w:rsid w:val="00691699"/>
    <w:rsid w:val="00692A1A"/>
    <w:rsid w:val="00696FDD"/>
    <w:rsid w:val="0069777F"/>
    <w:rsid w:val="006C297C"/>
    <w:rsid w:val="006C555E"/>
    <w:rsid w:val="006C6C40"/>
    <w:rsid w:val="006C7372"/>
    <w:rsid w:val="006D2ABD"/>
    <w:rsid w:val="006F35CD"/>
    <w:rsid w:val="006F51DA"/>
    <w:rsid w:val="00707A46"/>
    <w:rsid w:val="00723FD4"/>
    <w:rsid w:val="00742789"/>
    <w:rsid w:val="00761751"/>
    <w:rsid w:val="0077559E"/>
    <w:rsid w:val="00785C7D"/>
    <w:rsid w:val="00795A9B"/>
    <w:rsid w:val="007B1435"/>
    <w:rsid w:val="007B5539"/>
    <w:rsid w:val="007B68B9"/>
    <w:rsid w:val="007C1D4E"/>
    <w:rsid w:val="007C1F2B"/>
    <w:rsid w:val="007C4905"/>
    <w:rsid w:val="00800A0E"/>
    <w:rsid w:val="00802E4A"/>
    <w:rsid w:val="008146AA"/>
    <w:rsid w:val="00816AC3"/>
    <w:rsid w:val="0082482C"/>
    <w:rsid w:val="008314E4"/>
    <w:rsid w:val="00833FEB"/>
    <w:rsid w:val="008353F2"/>
    <w:rsid w:val="0085350D"/>
    <w:rsid w:val="00856A3B"/>
    <w:rsid w:val="00865693"/>
    <w:rsid w:val="0087163D"/>
    <w:rsid w:val="00881EE4"/>
    <w:rsid w:val="00883FD0"/>
    <w:rsid w:val="008846C8"/>
    <w:rsid w:val="00884C64"/>
    <w:rsid w:val="008876D1"/>
    <w:rsid w:val="00897D77"/>
    <w:rsid w:val="008A18D7"/>
    <w:rsid w:val="008A67AB"/>
    <w:rsid w:val="008B52CD"/>
    <w:rsid w:val="008C0845"/>
    <w:rsid w:val="008C68BB"/>
    <w:rsid w:val="008C7C6E"/>
    <w:rsid w:val="008D3EE8"/>
    <w:rsid w:val="008D51B2"/>
    <w:rsid w:val="008E156E"/>
    <w:rsid w:val="00913B67"/>
    <w:rsid w:val="0091729A"/>
    <w:rsid w:val="009259FC"/>
    <w:rsid w:val="00944DC9"/>
    <w:rsid w:val="009459C7"/>
    <w:rsid w:val="00945AC4"/>
    <w:rsid w:val="00946395"/>
    <w:rsid w:val="00954145"/>
    <w:rsid w:val="0095673E"/>
    <w:rsid w:val="00970D77"/>
    <w:rsid w:val="00972CC6"/>
    <w:rsid w:val="00975D16"/>
    <w:rsid w:val="00981904"/>
    <w:rsid w:val="00985EA6"/>
    <w:rsid w:val="00986415"/>
    <w:rsid w:val="009927CE"/>
    <w:rsid w:val="00994826"/>
    <w:rsid w:val="00995097"/>
    <w:rsid w:val="00996C01"/>
    <w:rsid w:val="009A1421"/>
    <w:rsid w:val="009B0D48"/>
    <w:rsid w:val="009B6FE6"/>
    <w:rsid w:val="009B7577"/>
    <w:rsid w:val="009C027F"/>
    <w:rsid w:val="009C3AD2"/>
    <w:rsid w:val="009C6030"/>
    <w:rsid w:val="009D4C61"/>
    <w:rsid w:val="009F2A57"/>
    <w:rsid w:val="009F7EBE"/>
    <w:rsid w:val="00A1148E"/>
    <w:rsid w:val="00A2399C"/>
    <w:rsid w:val="00A25FFA"/>
    <w:rsid w:val="00A51778"/>
    <w:rsid w:val="00A574B0"/>
    <w:rsid w:val="00A60A13"/>
    <w:rsid w:val="00A71E7B"/>
    <w:rsid w:val="00A9105A"/>
    <w:rsid w:val="00A91FE3"/>
    <w:rsid w:val="00AA1712"/>
    <w:rsid w:val="00AA6C76"/>
    <w:rsid w:val="00AC378C"/>
    <w:rsid w:val="00AD21AA"/>
    <w:rsid w:val="00AE553A"/>
    <w:rsid w:val="00AE7471"/>
    <w:rsid w:val="00AF3563"/>
    <w:rsid w:val="00AF3BFE"/>
    <w:rsid w:val="00B1095A"/>
    <w:rsid w:val="00B11209"/>
    <w:rsid w:val="00B117C5"/>
    <w:rsid w:val="00B20242"/>
    <w:rsid w:val="00B229B9"/>
    <w:rsid w:val="00B24BCF"/>
    <w:rsid w:val="00B32B7A"/>
    <w:rsid w:val="00B37A5E"/>
    <w:rsid w:val="00B4104E"/>
    <w:rsid w:val="00B42A1F"/>
    <w:rsid w:val="00B440B5"/>
    <w:rsid w:val="00B45B77"/>
    <w:rsid w:val="00B468E9"/>
    <w:rsid w:val="00B52E62"/>
    <w:rsid w:val="00B6280E"/>
    <w:rsid w:val="00B6530A"/>
    <w:rsid w:val="00B66301"/>
    <w:rsid w:val="00B67A88"/>
    <w:rsid w:val="00B873C4"/>
    <w:rsid w:val="00B91907"/>
    <w:rsid w:val="00B929DB"/>
    <w:rsid w:val="00BA1617"/>
    <w:rsid w:val="00BA36D0"/>
    <w:rsid w:val="00BA52D0"/>
    <w:rsid w:val="00BB194D"/>
    <w:rsid w:val="00BB5DBC"/>
    <w:rsid w:val="00BC2C6B"/>
    <w:rsid w:val="00BC6A94"/>
    <w:rsid w:val="00BD3BFB"/>
    <w:rsid w:val="00BD623A"/>
    <w:rsid w:val="00BD7310"/>
    <w:rsid w:val="00BD7E89"/>
    <w:rsid w:val="00C02ECD"/>
    <w:rsid w:val="00C03282"/>
    <w:rsid w:val="00C121EE"/>
    <w:rsid w:val="00C30EEF"/>
    <w:rsid w:val="00C429DE"/>
    <w:rsid w:val="00C456D2"/>
    <w:rsid w:val="00C470B4"/>
    <w:rsid w:val="00C503A1"/>
    <w:rsid w:val="00C57AE7"/>
    <w:rsid w:val="00C654ED"/>
    <w:rsid w:val="00C762F3"/>
    <w:rsid w:val="00C85C92"/>
    <w:rsid w:val="00C91742"/>
    <w:rsid w:val="00C9758C"/>
    <w:rsid w:val="00CB478E"/>
    <w:rsid w:val="00CB6AAE"/>
    <w:rsid w:val="00CC32C0"/>
    <w:rsid w:val="00CD2C31"/>
    <w:rsid w:val="00CD46C2"/>
    <w:rsid w:val="00CD75E2"/>
    <w:rsid w:val="00CE1A9E"/>
    <w:rsid w:val="00CE2699"/>
    <w:rsid w:val="00CE30CF"/>
    <w:rsid w:val="00CE52CA"/>
    <w:rsid w:val="00CF05DA"/>
    <w:rsid w:val="00CF0985"/>
    <w:rsid w:val="00CF3E69"/>
    <w:rsid w:val="00D00BE3"/>
    <w:rsid w:val="00D02C03"/>
    <w:rsid w:val="00D03A1E"/>
    <w:rsid w:val="00D04853"/>
    <w:rsid w:val="00D077BE"/>
    <w:rsid w:val="00D11F3D"/>
    <w:rsid w:val="00D16A90"/>
    <w:rsid w:val="00D16DBB"/>
    <w:rsid w:val="00D24677"/>
    <w:rsid w:val="00D25F0C"/>
    <w:rsid w:val="00D359C8"/>
    <w:rsid w:val="00D50D9E"/>
    <w:rsid w:val="00D61EAB"/>
    <w:rsid w:val="00D63CD8"/>
    <w:rsid w:val="00D80E4D"/>
    <w:rsid w:val="00D8105A"/>
    <w:rsid w:val="00D86343"/>
    <w:rsid w:val="00D86EF5"/>
    <w:rsid w:val="00D96693"/>
    <w:rsid w:val="00DA0C27"/>
    <w:rsid w:val="00DA5300"/>
    <w:rsid w:val="00DB1255"/>
    <w:rsid w:val="00DB56EB"/>
    <w:rsid w:val="00DB7BE7"/>
    <w:rsid w:val="00DC4070"/>
    <w:rsid w:val="00DD1C67"/>
    <w:rsid w:val="00DD408A"/>
    <w:rsid w:val="00DD7DE8"/>
    <w:rsid w:val="00DE6C2B"/>
    <w:rsid w:val="00DF2772"/>
    <w:rsid w:val="00DF32CC"/>
    <w:rsid w:val="00DF4CB7"/>
    <w:rsid w:val="00E01015"/>
    <w:rsid w:val="00E046A5"/>
    <w:rsid w:val="00E051FE"/>
    <w:rsid w:val="00E07ABD"/>
    <w:rsid w:val="00E273BC"/>
    <w:rsid w:val="00E33375"/>
    <w:rsid w:val="00E33AD8"/>
    <w:rsid w:val="00E34291"/>
    <w:rsid w:val="00E4598B"/>
    <w:rsid w:val="00E47C36"/>
    <w:rsid w:val="00E6734B"/>
    <w:rsid w:val="00E72CF3"/>
    <w:rsid w:val="00E748DA"/>
    <w:rsid w:val="00E76B58"/>
    <w:rsid w:val="00E83A43"/>
    <w:rsid w:val="00E86A0D"/>
    <w:rsid w:val="00E86E2B"/>
    <w:rsid w:val="00E875DD"/>
    <w:rsid w:val="00E90D9D"/>
    <w:rsid w:val="00E913ED"/>
    <w:rsid w:val="00E923E4"/>
    <w:rsid w:val="00E937B4"/>
    <w:rsid w:val="00E97007"/>
    <w:rsid w:val="00EC1AD2"/>
    <w:rsid w:val="00EC2FE4"/>
    <w:rsid w:val="00ED27A5"/>
    <w:rsid w:val="00EE223F"/>
    <w:rsid w:val="00EE3E55"/>
    <w:rsid w:val="00EE76CF"/>
    <w:rsid w:val="00EF3FD5"/>
    <w:rsid w:val="00F07D5C"/>
    <w:rsid w:val="00F139F7"/>
    <w:rsid w:val="00F210B3"/>
    <w:rsid w:val="00F22C60"/>
    <w:rsid w:val="00F231FC"/>
    <w:rsid w:val="00F2468A"/>
    <w:rsid w:val="00F2519D"/>
    <w:rsid w:val="00F3253C"/>
    <w:rsid w:val="00F4492E"/>
    <w:rsid w:val="00F45B0C"/>
    <w:rsid w:val="00F523D5"/>
    <w:rsid w:val="00F60C8B"/>
    <w:rsid w:val="00F63E0B"/>
    <w:rsid w:val="00F74793"/>
    <w:rsid w:val="00F75AFE"/>
    <w:rsid w:val="00F85A72"/>
    <w:rsid w:val="00F86E12"/>
    <w:rsid w:val="00F903BA"/>
    <w:rsid w:val="00F90D80"/>
    <w:rsid w:val="00F969C6"/>
    <w:rsid w:val="00FA2C0B"/>
    <w:rsid w:val="00FB18A8"/>
    <w:rsid w:val="00FB1DB0"/>
    <w:rsid w:val="00FB1F76"/>
    <w:rsid w:val="00FB56DD"/>
    <w:rsid w:val="00FB5CB2"/>
    <w:rsid w:val="00FB67C0"/>
    <w:rsid w:val="00FC0FEB"/>
    <w:rsid w:val="00FC3DC0"/>
    <w:rsid w:val="00FD47B6"/>
    <w:rsid w:val="00FF369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4CB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10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1015"/>
  </w:style>
  <w:style w:type="paragraph" w:styleId="Footer">
    <w:name w:val="footer"/>
    <w:basedOn w:val="Normal"/>
    <w:link w:val="FooterChar"/>
    <w:uiPriority w:val="99"/>
    <w:unhideWhenUsed/>
    <w:rsid w:val="00E010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1015"/>
  </w:style>
  <w:style w:type="character" w:styleId="Hyperlink">
    <w:name w:val="Hyperlink"/>
    <w:basedOn w:val="DefaultParagraphFont"/>
    <w:uiPriority w:val="99"/>
    <w:semiHidden/>
    <w:unhideWhenUsed/>
    <w:rsid w:val="00461CCD"/>
    <w:rPr>
      <w:color w:val="0000FF"/>
      <w:u w:val="single"/>
    </w:rPr>
  </w:style>
  <w:style w:type="paragraph" w:styleId="ListParagraph">
    <w:name w:val="List Paragraph"/>
    <w:basedOn w:val="Normal"/>
    <w:uiPriority w:val="34"/>
    <w:qFormat/>
    <w:rsid w:val="004810CD"/>
    <w:pPr>
      <w:spacing w:after="200" w:line="276" w:lineRule="auto"/>
      <w:ind w:left="720"/>
      <w:contextualSpacing/>
    </w:pPr>
  </w:style>
  <w:style w:type="character" w:customStyle="1" w:styleId="byline">
    <w:name w:val="byline"/>
    <w:basedOn w:val="DefaultParagraphFont"/>
    <w:rsid w:val="004810CD"/>
  </w:style>
  <w:style w:type="character" w:customStyle="1" w:styleId="il">
    <w:name w:val="il"/>
    <w:basedOn w:val="DefaultParagraphFont"/>
    <w:rsid w:val="003B65D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517430155">
      <w:bodyDiv w:val="1"/>
      <w:marLeft w:val="0"/>
      <w:marRight w:val="0"/>
      <w:marTop w:val="0"/>
      <w:marBottom w:val="0"/>
      <w:divBdr>
        <w:top w:val="none" w:sz="0" w:space="0" w:color="auto"/>
        <w:left w:val="none" w:sz="0" w:space="0" w:color="auto"/>
        <w:bottom w:val="none" w:sz="0" w:space="0" w:color="auto"/>
        <w:right w:val="none" w:sz="0" w:space="0" w:color="auto"/>
      </w:divBdr>
    </w:div>
    <w:div w:id="1041324061">
      <w:bodyDiv w:val="1"/>
      <w:marLeft w:val="0"/>
      <w:marRight w:val="0"/>
      <w:marTop w:val="0"/>
      <w:marBottom w:val="0"/>
      <w:divBdr>
        <w:top w:val="none" w:sz="0" w:space="0" w:color="auto"/>
        <w:left w:val="none" w:sz="0" w:space="0" w:color="auto"/>
        <w:bottom w:val="none" w:sz="0" w:space="0" w:color="auto"/>
        <w:right w:val="none" w:sz="0" w:space="0" w:color="auto"/>
      </w:divBdr>
      <w:divsChild>
        <w:div w:id="1721439175">
          <w:marLeft w:val="0"/>
          <w:marRight w:val="0"/>
          <w:marTop w:val="0"/>
          <w:marBottom w:val="0"/>
          <w:divBdr>
            <w:top w:val="none" w:sz="0" w:space="0" w:color="auto"/>
            <w:left w:val="none" w:sz="0" w:space="0" w:color="auto"/>
            <w:bottom w:val="none" w:sz="0" w:space="0" w:color="auto"/>
            <w:right w:val="none" w:sz="0" w:space="0" w:color="auto"/>
          </w:divBdr>
        </w:div>
      </w:divsChild>
    </w:div>
    <w:div w:id="1654791803">
      <w:bodyDiv w:val="1"/>
      <w:marLeft w:val="0"/>
      <w:marRight w:val="0"/>
      <w:marTop w:val="0"/>
      <w:marBottom w:val="0"/>
      <w:divBdr>
        <w:top w:val="none" w:sz="0" w:space="0" w:color="auto"/>
        <w:left w:val="none" w:sz="0" w:space="0" w:color="auto"/>
        <w:bottom w:val="none" w:sz="0" w:space="0" w:color="auto"/>
        <w:right w:val="none" w:sz="0" w:space="0" w:color="auto"/>
      </w:divBdr>
    </w:div>
    <w:div w:id="2128425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9</Pages>
  <Words>1552</Words>
  <Characters>8850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2019-09-12T23:12:00Z</dcterms:created>
  <dcterms:modified xsi:type="dcterms:W3CDTF">2019-09-12T23:12:00Z</dcterms:modified>
</cp:coreProperties>
</file>